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6986"/>
      </w:tblGrid>
      <w:tr w:rsidR="00637B76" w:rsidRPr="0088641A" w:rsidTr="00C0148D">
        <w:tc>
          <w:tcPr>
            <w:tcW w:w="2448" w:type="dxa"/>
          </w:tcPr>
          <w:p w:rsidR="00637B76" w:rsidRPr="0088641A" w:rsidRDefault="00637B76" w:rsidP="00C0148D">
            <w:pPr>
              <w:tabs>
                <w:tab w:val="left" w:pos="284"/>
              </w:tabs>
              <w:spacing w:line="276" w:lineRule="auto"/>
              <w:ind w:left="0" w:right="0" w:firstLine="0"/>
            </w:pPr>
            <w:bookmarkStart w:id="0" w:name="_GoBack" w:colFirst="1" w:colLast="1"/>
            <w:r w:rsidRPr="0088641A">
              <w:t>Denumirea măsurii:</w:t>
            </w:r>
          </w:p>
        </w:tc>
        <w:tc>
          <w:tcPr>
            <w:tcW w:w="6903" w:type="dxa"/>
          </w:tcPr>
          <w:p w:rsidR="00637B76" w:rsidRPr="0088641A" w:rsidRDefault="00637B76" w:rsidP="00C0148D">
            <w:pPr>
              <w:tabs>
                <w:tab w:val="left" w:pos="284"/>
              </w:tabs>
              <w:spacing w:line="276" w:lineRule="auto"/>
              <w:ind w:left="0" w:right="0" w:firstLine="0"/>
            </w:pPr>
            <w:r w:rsidRPr="0088641A">
              <w:t>Cooperare pentru dezvoltare prin patrimoniu local</w:t>
            </w:r>
          </w:p>
        </w:tc>
      </w:tr>
      <w:tr w:rsidR="00637B76" w:rsidRPr="0088641A" w:rsidTr="00C0148D">
        <w:tc>
          <w:tcPr>
            <w:tcW w:w="2448" w:type="dxa"/>
          </w:tcPr>
          <w:p w:rsidR="00637B76" w:rsidRPr="0088641A" w:rsidRDefault="00637B76" w:rsidP="00C0148D">
            <w:pPr>
              <w:tabs>
                <w:tab w:val="left" w:pos="284"/>
              </w:tabs>
              <w:spacing w:line="276" w:lineRule="auto"/>
              <w:ind w:left="0" w:right="0" w:firstLine="0"/>
            </w:pPr>
            <w:r w:rsidRPr="0088641A">
              <w:t>Codul măsurii:</w:t>
            </w:r>
          </w:p>
        </w:tc>
        <w:tc>
          <w:tcPr>
            <w:tcW w:w="6903" w:type="dxa"/>
          </w:tcPr>
          <w:p w:rsidR="00637B76" w:rsidRPr="0088641A" w:rsidRDefault="00637B76" w:rsidP="00C0148D">
            <w:pPr>
              <w:tabs>
                <w:tab w:val="left" w:pos="284"/>
              </w:tabs>
              <w:spacing w:line="276" w:lineRule="auto"/>
              <w:ind w:left="0" w:right="0" w:firstLine="0"/>
              <w:rPr>
                <w:bCs/>
              </w:rPr>
            </w:pPr>
            <w:r w:rsidRPr="0088641A">
              <w:t>M16.2/6B</w:t>
            </w:r>
            <w:r w:rsidRPr="0088641A">
              <w:rPr>
                <w:bCs/>
              </w:rPr>
              <w:t xml:space="preserve"> </w:t>
            </w:r>
          </w:p>
        </w:tc>
      </w:tr>
      <w:bookmarkEnd w:id="0"/>
      <w:tr w:rsidR="00637B76" w:rsidRPr="0088641A" w:rsidTr="00C0148D">
        <w:tc>
          <w:tcPr>
            <w:tcW w:w="2448" w:type="dxa"/>
          </w:tcPr>
          <w:p w:rsidR="00637B76" w:rsidRPr="0088641A" w:rsidRDefault="00637B76" w:rsidP="00C0148D">
            <w:pPr>
              <w:tabs>
                <w:tab w:val="left" w:pos="284"/>
              </w:tabs>
              <w:spacing w:line="276" w:lineRule="auto"/>
              <w:ind w:left="0" w:right="0" w:firstLine="0"/>
            </w:pPr>
            <w:r w:rsidRPr="0088641A">
              <w:rPr>
                <w:bCs/>
              </w:rPr>
              <w:t>Tipul măsurii:</w:t>
            </w:r>
          </w:p>
        </w:tc>
        <w:tc>
          <w:tcPr>
            <w:tcW w:w="6903" w:type="dxa"/>
          </w:tcPr>
          <w:tbl>
            <w:tblPr>
              <w:tblStyle w:val="TableGrid"/>
              <w:tblW w:w="4115" w:type="dxa"/>
              <w:tblLook w:val="04A0" w:firstRow="1" w:lastRow="0" w:firstColumn="1" w:lastColumn="0" w:noHBand="0" w:noVBand="1"/>
            </w:tblPr>
            <w:tblGrid>
              <w:gridCol w:w="4115"/>
            </w:tblGrid>
            <w:tr w:rsidR="00637B76" w:rsidRPr="0088641A" w:rsidTr="00C0148D">
              <w:tc>
                <w:tcPr>
                  <w:tcW w:w="4115" w:type="dxa"/>
                  <w:tcBorders>
                    <w:top w:val="nil"/>
                    <w:left w:val="single" w:sz="4" w:space="0" w:color="auto"/>
                    <w:bottom w:val="nil"/>
                    <w:right w:val="nil"/>
                  </w:tcBorders>
                </w:tcPr>
                <w:p w:rsidR="00637B76" w:rsidRPr="0088641A" w:rsidRDefault="00637B76" w:rsidP="00C0148D">
                  <w:pPr>
                    <w:tabs>
                      <w:tab w:val="left" w:pos="284"/>
                    </w:tabs>
                    <w:spacing w:line="276" w:lineRule="auto"/>
                    <w:ind w:left="0" w:right="0" w:firstLine="0"/>
                    <w:rPr>
                      <w:bCs/>
                    </w:rPr>
                  </w:pPr>
                  <w:r w:rsidRPr="0088641A">
                    <w:rPr>
                      <w:bCs/>
                    </w:rPr>
                    <w:t>INVESTIȚII</w:t>
                  </w:r>
                </w:p>
              </w:tc>
            </w:tr>
            <w:tr w:rsidR="00637B76" w:rsidRPr="0088641A" w:rsidTr="00C0148D">
              <w:tc>
                <w:tcPr>
                  <w:tcW w:w="4115" w:type="dxa"/>
                  <w:tcBorders>
                    <w:top w:val="nil"/>
                    <w:left w:val="single" w:sz="4" w:space="0" w:color="auto"/>
                    <w:bottom w:val="nil"/>
                    <w:right w:val="nil"/>
                  </w:tcBorders>
                </w:tcPr>
                <w:p w:rsidR="00637B76" w:rsidRPr="0088641A" w:rsidRDefault="00637B76" w:rsidP="00C0148D">
                  <w:pPr>
                    <w:tabs>
                      <w:tab w:val="left" w:pos="284"/>
                    </w:tabs>
                    <w:spacing w:line="276" w:lineRule="auto"/>
                    <w:ind w:left="0" w:right="0" w:firstLine="0"/>
                    <w:rPr>
                      <w:bCs/>
                    </w:rPr>
                  </w:pPr>
                  <w:r w:rsidRPr="0088641A">
                    <w:rPr>
                      <w:bCs/>
                    </w:rPr>
                    <w:t>SERVICII</w:t>
                  </w:r>
                </w:p>
              </w:tc>
            </w:tr>
          </w:tbl>
          <w:p w:rsidR="00637B76" w:rsidRPr="0088641A" w:rsidRDefault="00637B76" w:rsidP="00C0148D">
            <w:pPr>
              <w:tabs>
                <w:tab w:val="left" w:pos="284"/>
              </w:tabs>
              <w:spacing w:line="276" w:lineRule="auto"/>
              <w:ind w:left="0" w:right="0" w:firstLine="0"/>
            </w:pPr>
          </w:p>
        </w:tc>
      </w:tr>
      <w:tr w:rsidR="00637B76" w:rsidRPr="0088641A" w:rsidTr="00C0148D">
        <w:tc>
          <w:tcPr>
            <w:tcW w:w="9351" w:type="dxa"/>
            <w:gridSpan w:val="2"/>
          </w:tcPr>
          <w:p w:rsidR="00637B76" w:rsidRPr="0088641A" w:rsidRDefault="00637B76" w:rsidP="00C0148D">
            <w:pPr>
              <w:tabs>
                <w:tab w:val="left" w:pos="284"/>
              </w:tabs>
              <w:spacing w:line="276" w:lineRule="auto"/>
              <w:ind w:left="0" w:right="0" w:firstLine="0"/>
            </w:pPr>
            <w:r w:rsidRPr="0088641A">
              <w:t>1.Descrierea generală a măsurii</w:t>
            </w:r>
          </w:p>
        </w:tc>
      </w:tr>
      <w:tr w:rsidR="00637B76" w:rsidRPr="0088641A" w:rsidTr="00C0148D">
        <w:tc>
          <w:tcPr>
            <w:tcW w:w="9351" w:type="dxa"/>
            <w:gridSpan w:val="2"/>
          </w:tcPr>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color w:val="000000" w:themeColor="text1"/>
                <w:sz w:val="22"/>
                <w:szCs w:val="22"/>
              </w:rPr>
              <w:t>1.1 Justificare și corelare cu analiza SWOT</w:t>
            </w:r>
          </w:p>
        </w:tc>
      </w:tr>
      <w:tr w:rsidR="00637B76" w:rsidRPr="0088641A" w:rsidTr="00C0148D">
        <w:tc>
          <w:tcPr>
            <w:tcW w:w="9351" w:type="dxa"/>
            <w:gridSpan w:val="2"/>
          </w:tcPr>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iCs/>
                <w:color w:val="auto"/>
                <w:sz w:val="22"/>
                <w:szCs w:val="22"/>
              </w:rPr>
              <w:t>Teritoriul GAL MMTM are o specificitate aparte, datorită patrimoniului natural și arhitectural de o excepțională calitate.  Dupa cum reiese din</w:t>
            </w:r>
            <w:r w:rsidRPr="0088641A">
              <w:rPr>
                <w:rFonts w:ascii="Trebuchet MS" w:hAnsi="Trebuchet MS"/>
                <w:bCs/>
                <w:sz w:val="22"/>
                <w:szCs w:val="22"/>
              </w:rPr>
              <w:t xml:space="preserve"> analiza diagnostic, toate UAT-urile din teritoriul GAL MMTMM sunt în zone cu valoare naturală ridicată, iar suprafața siturilor Natura 2000 se apropie de 1000 km</w:t>
            </w:r>
            <w:r w:rsidRPr="0088641A">
              <w:rPr>
                <w:rFonts w:ascii="Trebuchet MS" w:hAnsi="Trebuchet MS"/>
                <w:bCs/>
                <w:sz w:val="22"/>
                <w:szCs w:val="22"/>
                <w:vertAlign w:val="superscript"/>
              </w:rPr>
              <w:t>2</w:t>
            </w:r>
            <w:r w:rsidRPr="0088641A">
              <w:rPr>
                <w:rFonts w:ascii="Trebuchet MS" w:hAnsi="Trebuchet MS"/>
                <w:iCs/>
                <w:color w:val="auto"/>
                <w:sz w:val="22"/>
                <w:szCs w:val="22"/>
              </w:rPr>
              <w:t>. Arhitectura populară tradițională este foarte specifică, după cum se vede din studiul „Arhitectură și urbanism în județul Alba” pag.16,22,24,82-85,88-91. Teritoriul GAL MMTMM este, de asemenea, brăzdat de numeroase văi a căror energie a fost folosită pentru morărit, prelucrat și spălat stofe din lână și cânepă și în minerit. În zonă mai sunt încă mori tradiționale bine conservate. Toate comunele au expoziții muzeale găzduite în  cladiri tradiționale, școli sau în alte locații mai mult sau mai putin adecvate. În Lupșa și Rimetea sunt muzee etnografice. Orașul Baia de Arieș și comuna Rimetea au vechi tradiții în minerit, activitate care a încetat în prezent. În teritoriul GAL MMTMM sunt de asemenea numeroase biserici, monumente arhitecturale de importanță locală sau națională. În teritoriul GAL MMTMM mai sunt încă vii în memoria localnicilor practici agricole și meserii tradiționale (unele chiar se mai practică la scară mică) ca de exemplu cultura grâului, de la arat cu plugul, tras de boii, culesul cu clăcași și muzică, căratul snopilor în carul cu boi, îmblăcitul (treieratul tradițional) în aria șurii acoperite cu paie, măcinatul la o moară pe apă și prepararea și coacerea pâinii în cuptorul pe vatră. Un astfel de ciclu se repetă pentru multe dintre practicile agricole și meseriile tradiționale  și acestea sunt valoroase prin unicitate, unele pot fi evenimente culturale (claca, șezătoarea, hora) iar altele pot avea rezultate materiale concrete cu obținerea unor produse tradiționale care sunt tot mai greu de procurat( paie pentru acoperișuri, sindrila, vase din lemn, etc.)</w:t>
            </w:r>
          </w:p>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iCs/>
                <w:color w:val="auto"/>
                <w:sz w:val="22"/>
                <w:szCs w:val="22"/>
              </w:rPr>
              <w:t>Analiza SWOT relevă puncte slabe și riscuri în teritoriul GAL MMTMM:</w:t>
            </w:r>
          </w:p>
          <w:p w:rsidR="00637B76" w:rsidRPr="0088641A" w:rsidRDefault="00637B76" w:rsidP="00637B76">
            <w:pPr>
              <w:numPr>
                <w:ilvl w:val="0"/>
                <w:numId w:val="2"/>
              </w:numPr>
              <w:tabs>
                <w:tab w:val="left" w:pos="284"/>
              </w:tabs>
              <w:spacing w:after="0" w:line="276" w:lineRule="auto"/>
              <w:ind w:left="0" w:right="0" w:firstLine="0"/>
            </w:pPr>
            <w:r w:rsidRPr="0088641A">
              <w:t>Lipsa sau proasta întreținere a potecilor turistice necesare vizitării obiectivelor turistice din site-urile Natura 2000,</w:t>
            </w:r>
          </w:p>
          <w:p w:rsidR="00637B76" w:rsidRPr="0088641A" w:rsidRDefault="00637B76" w:rsidP="00637B76">
            <w:pPr>
              <w:numPr>
                <w:ilvl w:val="0"/>
                <w:numId w:val="2"/>
              </w:numPr>
              <w:tabs>
                <w:tab w:val="left" w:pos="284"/>
              </w:tabs>
              <w:spacing w:after="0" w:line="276" w:lineRule="auto"/>
              <w:ind w:left="0" w:right="0" w:firstLine="0"/>
            </w:pPr>
            <w:r w:rsidRPr="0088641A">
              <w:t xml:space="preserve">Muzee tradiţionale sau expoziții etnografice care necesită spații reamenajate </w:t>
            </w:r>
          </w:p>
          <w:p w:rsidR="00637B76" w:rsidRPr="0088641A" w:rsidRDefault="00637B76" w:rsidP="00637B76">
            <w:pPr>
              <w:numPr>
                <w:ilvl w:val="0"/>
                <w:numId w:val="2"/>
              </w:numPr>
              <w:tabs>
                <w:tab w:val="left" w:pos="284"/>
              </w:tabs>
              <w:spacing w:after="0" w:line="276" w:lineRule="auto"/>
              <w:ind w:left="0" w:right="0" w:firstLine="0"/>
            </w:pPr>
            <w:r w:rsidRPr="0088641A">
              <w:t>Riscul de degradare a clădirilor tradiționale de lemn din teritoriul GAL</w:t>
            </w:r>
          </w:p>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iCs/>
                <w:color w:val="auto"/>
                <w:sz w:val="22"/>
                <w:szCs w:val="22"/>
              </w:rPr>
              <w:t>Situatia descrisă mai sus, coroborată cu analiza diagnostic, arată că există importante oportunități de dezvoltare a zonei prin diferite forme de turism rural: ecologic, cultural, ecumenic, ecvestru, tematic și  cicloturism. Pe de altă parte, toate aceste valori sunt tot mai amenințate de degradare sau chiar pe punctul de dispariție.</w:t>
            </w:r>
          </w:p>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iCs/>
                <w:color w:val="auto"/>
                <w:sz w:val="22"/>
                <w:szCs w:val="22"/>
              </w:rPr>
              <w:t xml:space="preserve"> Sursele financiare necesare pentru conservarea şi valorificarea acestui patrimoniu sunt foarte limitate. Există posibilitatea finanțării de investiţii, exclusiv pentru obiective de patrimoniu cultural imobil de interes național de clasa A prin POR și respectiv pentru cele de interes local de clasa B prin sM 7.6 al PNDR 2014 – 2020. Finanțări pentru investiții de conservare și valorificare a patrimoniului natural, architectural (altul decât cel menționat mai sus) și a tradițiilor, practic nu sunt disponibile. Prin această măsură dorim să acordăm sprijin financiar  petru investiții de conservare și valorificare a patrimoniului natural și arhitectural, al imobilelor, instalațiilor, echipamentelor, atelajelor și obiectelor tradiționale aflate pe listele obiectivelor tradiționale locale,  întocmite de primării sau de instituții de cultură la nivel de județ.</w:t>
            </w:r>
          </w:p>
          <w:p w:rsidR="00637B76" w:rsidRPr="0088641A" w:rsidRDefault="00637B76" w:rsidP="00C0148D">
            <w:pPr>
              <w:tabs>
                <w:tab w:val="left" w:pos="284"/>
              </w:tabs>
              <w:spacing w:line="276" w:lineRule="auto"/>
              <w:ind w:left="0" w:right="0" w:firstLine="0"/>
            </w:pPr>
            <w:r w:rsidRPr="0088641A">
              <w:rPr>
                <w:color w:val="212121"/>
              </w:rPr>
              <w:lastRenderedPageBreak/>
              <w:t xml:space="preserve">Măsura, prin sprijinul acordat micilor operatori din zonele rurale, posesori sau administratori </w:t>
            </w:r>
            <w:r w:rsidRPr="0088641A">
              <w:t>ai unor astfel de obiective de patrimoniu natural sau arhitectural sau/și de către practicanții /potențialii practicanți ai unor practici agricole și meserii tradiționale</w:t>
            </w:r>
            <w:r w:rsidRPr="0088641A">
              <w:rPr>
                <w:color w:val="212121"/>
              </w:rPr>
              <w:t>, asigură dezvoltarea de activități economice pe care altfel nu au posibilitatea de a le activa, atunci când acționează singuri.</w:t>
            </w:r>
          </w:p>
          <w:p w:rsidR="00637B76" w:rsidRPr="0088641A" w:rsidRDefault="00637B76" w:rsidP="00C0148D">
            <w:pPr>
              <w:pStyle w:val="Default"/>
              <w:tabs>
                <w:tab w:val="left" w:pos="142"/>
                <w:tab w:val="left" w:pos="284"/>
              </w:tabs>
              <w:spacing w:line="276" w:lineRule="auto"/>
              <w:jc w:val="both"/>
              <w:rPr>
                <w:rFonts w:ascii="Trebuchet MS" w:hAnsi="Trebuchet MS"/>
                <w:iCs/>
                <w:color w:val="auto"/>
                <w:sz w:val="22"/>
                <w:szCs w:val="22"/>
              </w:rPr>
            </w:pPr>
            <w:r w:rsidRPr="0088641A">
              <w:rPr>
                <w:rFonts w:ascii="Trebuchet MS" w:hAnsi="Trebuchet MS"/>
                <w:iCs/>
                <w:color w:val="auto"/>
                <w:sz w:val="22"/>
                <w:szCs w:val="22"/>
              </w:rPr>
              <w:t xml:space="preserve">Patrimoniul conservat şi valorificat ar contribui semnificativ la îmbunătăţirea calităţii vieţii la nivelul teritoriului GAL MMTMM prin introducerea  lui în circuitul turistic și prin menținerea vie a sentimentului de apartenență la locurile natale pentru tineri, ceea ce ar contribui la stăvilirea procesului accelerat de migrare a tinerilor din zonele deja depopulate. </w:t>
            </w:r>
          </w:p>
        </w:tc>
      </w:tr>
      <w:tr w:rsidR="00637B76" w:rsidRPr="0088641A" w:rsidTr="00C0148D">
        <w:tc>
          <w:tcPr>
            <w:tcW w:w="9351" w:type="dxa"/>
            <w:gridSpan w:val="2"/>
          </w:tcPr>
          <w:p w:rsidR="00637B76" w:rsidRPr="0088641A" w:rsidRDefault="00637B76" w:rsidP="00C0148D">
            <w:pPr>
              <w:tabs>
                <w:tab w:val="left" w:pos="284"/>
              </w:tabs>
              <w:spacing w:line="276" w:lineRule="auto"/>
              <w:ind w:left="0" w:right="0" w:firstLine="0"/>
              <w:rPr>
                <w:color w:val="000000" w:themeColor="text1"/>
              </w:rPr>
            </w:pPr>
            <w:r w:rsidRPr="0088641A">
              <w:rPr>
                <w:color w:val="000000" w:themeColor="text1"/>
              </w:rPr>
              <w:lastRenderedPageBreak/>
              <w:t>1.2 Contribuția la obiectivul 3 de dezvoltare rurală (Art. 4-</w:t>
            </w:r>
            <w:r w:rsidRPr="0088641A">
              <w:rPr>
                <w:bCs/>
                <w:lang w:val="ro-RO"/>
              </w:rPr>
              <w:t xml:space="preserve"> din Regulamentul (UE) nr. 1305/2013):</w:t>
            </w:r>
            <w:r w:rsidRPr="0088641A">
              <w:t xml:space="preserve"> Obținerea unei dezvoltări teritoriale echilibrate a economiilor și comunităților rurale, inclusiv crearea și menținerea de locuri de muncă</w:t>
            </w:r>
          </w:p>
        </w:tc>
      </w:tr>
      <w:tr w:rsidR="00637B76" w:rsidRPr="0088641A" w:rsidTr="00C0148D">
        <w:tc>
          <w:tcPr>
            <w:tcW w:w="9351" w:type="dxa"/>
            <w:gridSpan w:val="2"/>
          </w:tcPr>
          <w:p w:rsidR="00637B76" w:rsidRPr="0088641A" w:rsidRDefault="00637B76" w:rsidP="00637B76">
            <w:pPr>
              <w:pStyle w:val="ListParagraph"/>
              <w:numPr>
                <w:ilvl w:val="1"/>
                <w:numId w:val="1"/>
              </w:numPr>
              <w:tabs>
                <w:tab w:val="left" w:pos="284"/>
              </w:tabs>
              <w:spacing w:after="0" w:line="276" w:lineRule="auto"/>
              <w:ind w:left="0" w:firstLine="0"/>
              <w:rPr>
                <w:rFonts w:ascii="Trebuchet MS" w:hAnsi="Trebuchet MS"/>
                <w:color w:val="000000" w:themeColor="text1"/>
                <w:sz w:val="22"/>
              </w:rPr>
            </w:pPr>
            <w:r w:rsidRPr="0088641A">
              <w:rPr>
                <w:rFonts w:ascii="Trebuchet MS" w:hAnsi="Trebuchet MS"/>
                <w:color w:val="000000" w:themeColor="text1"/>
                <w:sz w:val="22"/>
              </w:rPr>
              <w:t xml:space="preserve">Obiective specifice ale măsurii :  </w:t>
            </w:r>
          </w:p>
        </w:tc>
      </w:tr>
      <w:tr w:rsidR="00637B76" w:rsidRPr="0088641A" w:rsidTr="00C0148D">
        <w:tc>
          <w:tcPr>
            <w:tcW w:w="9351" w:type="dxa"/>
            <w:gridSpan w:val="2"/>
          </w:tcPr>
          <w:p w:rsidR="00637B76" w:rsidRPr="0088641A" w:rsidRDefault="00637B76" w:rsidP="00637B76">
            <w:pPr>
              <w:pStyle w:val="ListParagraph"/>
              <w:numPr>
                <w:ilvl w:val="0"/>
                <w:numId w:val="11"/>
              </w:numPr>
              <w:tabs>
                <w:tab w:val="left" w:pos="-326"/>
                <w:tab w:val="left" w:pos="17"/>
                <w:tab w:val="left" w:pos="284"/>
              </w:tabs>
              <w:spacing w:after="0" w:line="276" w:lineRule="auto"/>
              <w:ind w:left="0" w:firstLine="0"/>
              <w:rPr>
                <w:rFonts w:ascii="Trebuchet MS" w:hAnsi="Trebuchet MS"/>
                <w:color w:val="000000" w:themeColor="text1"/>
                <w:sz w:val="22"/>
              </w:rPr>
            </w:pPr>
            <w:r w:rsidRPr="0088641A">
              <w:rPr>
                <w:rFonts w:ascii="Trebuchet MS" w:hAnsi="Trebuchet MS"/>
                <w:color w:val="000000" w:themeColor="text1"/>
                <w:sz w:val="22"/>
              </w:rPr>
              <w:t>Creșterea calității vieții în teritoriul GAL MMTMM, prin conservarea și valorificarea durabila a resurselor naturale, a patrimoniului arhitectural si a traditiilor, prin cooperare, sprijiniți de experiza externa  a unor instituții culturale si ONG-uri specializate în reabilitarea și promovarea patrimoniului.</w:t>
            </w:r>
          </w:p>
        </w:tc>
      </w:tr>
      <w:tr w:rsidR="00637B76" w:rsidRPr="0088641A" w:rsidTr="00C0148D">
        <w:tc>
          <w:tcPr>
            <w:tcW w:w="9351" w:type="dxa"/>
            <w:gridSpan w:val="2"/>
            <w:vAlign w:val="center"/>
          </w:tcPr>
          <w:p w:rsidR="00637B76" w:rsidRPr="0088641A" w:rsidRDefault="00637B76" w:rsidP="00C0148D">
            <w:pPr>
              <w:tabs>
                <w:tab w:val="left" w:pos="142"/>
                <w:tab w:val="left" w:pos="284"/>
              </w:tabs>
              <w:spacing w:line="276" w:lineRule="auto"/>
              <w:ind w:left="0" w:right="0" w:firstLine="0"/>
            </w:pPr>
            <w:r w:rsidRPr="0088641A">
              <w:t>1.4. Contribuția la prioritatea 6 prevăzută la art.5, Reg.(UE) nr.1305/2013:</w:t>
            </w:r>
            <w:r w:rsidRPr="0088641A">
              <w:rPr>
                <w:bCs/>
              </w:rPr>
              <w:t>Promovarea incluziunii sociale, a reducerii sărăciei și a dezvoltării economice în zonele rurale</w:t>
            </w:r>
          </w:p>
        </w:tc>
      </w:tr>
      <w:tr w:rsidR="00637B76" w:rsidRPr="0088641A" w:rsidTr="00C0148D">
        <w:tc>
          <w:tcPr>
            <w:tcW w:w="9351" w:type="dxa"/>
            <w:gridSpan w:val="2"/>
            <w:vAlign w:val="center"/>
          </w:tcPr>
          <w:p w:rsidR="00637B76" w:rsidRPr="0088641A" w:rsidRDefault="00637B76" w:rsidP="00C0148D">
            <w:pPr>
              <w:tabs>
                <w:tab w:val="left" w:pos="142"/>
                <w:tab w:val="left" w:pos="284"/>
              </w:tabs>
              <w:spacing w:line="276" w:lineRule="auto"/>
              <w:ind w:left="0" w:right="0" w:firstLine="0"/>
            </w:pPr>
            <w:r w:rsidRPr="0088641A">
              <w:t>1.5. Măsura corespunde obiectivelor articolul</w:t>
            </w:r>
            <w:r w:rsidRPr="0088641A">
              <w:rPr>
                <w:rFonts w:cs="EUAlbertina"/>
              </w:rPr>
              <w:t xml:space="preserve"> 35 din </w:t>
            </w:r>
            <w:r w:rsidRPr="0088641A">
              <w:t>din Reg</w:t>
            </w:r>
            <w:proofErr w:type="gramStart"/>
            <w:r w:rsidRPr="0088641A">
              <w:t>.(</w:t>
            </w:r>
            <w:proofErr w:type="gramEnd"/>
            <w:r w:rsidRPr="0088641A">
              <w:t>UE) nr.1305/2013.</w:t>
            </w:r>
          </w:p>
        </w:tc>
      </w:tr>
      <w:tr w:rsidR="00637B76" w:rsidRPr="0088641A" w:rsidTr="00C0148D">
        <w:tc>
          <w:tcPr>
            <w:tcW w:w="9351" w:type="dxa"/>
            <w:gridSpan w:val="2"/>
            <w:vAlign w:val="center"/>
          </w:tcPr>
          <w:p w:rsidR="00637B76" w:rsidRPr="0088641A" w:rsidRDefault="00637B76" w:rsidP="00C0148D">
            <w:pPr>
              <w:pStyle w:val="Default"/>
              <w:tabs>
                <w:tab w:val="left" w:pos="284"/>
              </w:tabs>
              <w:spacing w:line="276" w:lineRule="auto"/>
              <w:jc w:val="both"/>
              <w:rPr>
                <w:rFonts w:ascii="Trebuchet MS" w:hAnsi="Trebuchet MS"/>
                <w:sz w:val="22"/>
                <w:szCs w:val="22"/>
              </w:rPr>
            </w:pPr>
            <w:r w:rsidRPr="0088641A">
              <w:rPr>
                <w:rFonts w:ascii="Trebuchet MS" w:hAnsi="Trebuchet MS"/>
                <w:sz w:val="22"/>
                <w:szCs w:val="22"/>
              </w:rPr>
              <w:t>1.6 Măsura contribuie la Domeniul de intervenție 6B) prevăzut la art. 5, Reg. (UE) nr. 1305/2013): Încurajarea dezvoltării locale în zonele rurale – domeniu principal</w:t>
            </w:r>
          </w:p>
        </w:tc>
      </w:tr>
      <w:tr w:rsidR="00637B76" w:rsidRPr="0088641A" w:rsidTr="00C0148D">
        <w:tc>
          <w:tcPr>
            <w:tcW w:w="9351" w:type="dxa"/>
            <w:gridSpan w:val="2"/>
            <w:vAlign w:val="center"/>
          </w:tcPr>
          <w:p w:rsidR="00637B76" w:rsidRPr="0088641A" w:rsidRDefault="00637B76" w:rsidP="00637B76">
            <w:pPr>
              <w:pStyle w:val="ListParagraph"/>
              <w:numPr>
                <w:ilvl w:val="1"/>
                <w:numId w:val="4"/>
              </w:numPr>
              <w:tabs>
                <w:tab w:val="left" w:pos="142"/>
                <w:tab w:val="left" w:pos="284"/>
                <w:tab w:val="left" w:pos="510"/>
              </w:tabs>
              <w:spacing w:after="0" w:line="276" w:lineRule="auto"/>
              <w:ind w:left="0" w:firstLine="0"/>
              <w:rPr>
                <w:rFonts w:ascii="Trebuchet MS" w:hAnsi="Trebuchet MS"/>
                <w:sz w:val="22"/>
              </w:rPr>
            </w:pPr>
            <w:r w:rsidRPr="0088641A">
              <w:rPr>
                <w:rFonts w:ascii="Trebuchet MS" w:hAnsi="Trebuchet MS"/>
                <w:sz w:val="22"/>
              </w:rPr>
              <w:t>Contribuţia la obiectivele transversale ale Reg.(UE) 1305/2013:</w:t>
            </w:r>
          </w:p>
        </w:tc>
      </w:tr>
      <w:tr w:rsidR="00637B76" w:rsidRPr="0088641A" w:rsidTr="00C0148D">
        <w:trPr>
          <w:trHeight w:val="294"/>
        </w:trPr>
        <w:tc>
          <w:tcPr>
            <w:tcW w:w="9351" w:type="dxa"/>
            <w:gridSpan w:val="2"/>
            <w:vAlign w:val="center"/>
          </w:tcPr>
          <w:p w:rsidR="00637B76" w:rsidRPr="0088641A" w:rsidRDefault="00637B76" w:rsidP="00C0148D">
            <w:pPr>
              <w:pStyle w:val="ListParagraph"/>
              <w:tabs>
                <w:tab w:val="left" w:pos="142"/>
                <w:tab w:val="left" w:pos="284"/>
                <w:tab w:val="left" w:pos="510"/>
              </w:tabs>
              <w:spacing w:line="276" w:lineRule="auto"/>
              <w:ind w:left="0" w:firstLine="0"/>
              <w:rPr>
                <w:rFonts w:ascii="Trebuchet MS" w:hAnsi="Trebuchet MS"/>
                <w:sz w:val="22"/>
              </w:rPr>
            </w:pPr>
            <w:r w:rsidRPr="0088641A">
              <w:rPr>
                <w:rFonts w:ascii="Trebuchet MS" w:hAnsi="Trebuchet MS"/>
                <w:sz w:val="22"/>
              </w:rPr>
              <w:t>Inovare</w:t>
            </w:r>
          </w:p>
        </w:tc>
      </w:tr>
      <w:tr w:rsidR="00637B76" w:rsidRPr="0088641A" w:rsidTr="00C0148D">
        <w:trPr>
          <w:trHeight w:val="294"/>
        </w:trPr>
        <w:tc>
          <w:tcPr>
            <w:tcW w:w="9351" w:type="dxa"/>
            <w:gridSpan w:val="2"/>
            <w:vAlign w:val="center"/>
          </w:tcPr>
          <w:p w:rsidR="00637B76" w:rsidRPr="0088641A" w:rsidRDefault="00637B76" w:rsidP="00C0148D">
            <w:pPr>
              <w:tabs>
                <w:tab w:val="left" w:pos="284"/>
              </w:tabs>
              <w:spacing w:line="276" w:lineRule="auto"/>
              <w:ind w:left="0" w:right="0" w:firstLine="0"/>
            </w:pPr>
            <w:r w:rsidRPr="0088641A">
              <w:t>Caracterul inovator al acestei măsuri se referă la faptul că o astfel de abordare și chiar astfel de investiț</w:t>
            </w:r>
            <w:proofErr w:type="gramStart"/>
            <w:r w:rsidRPr="0088641A">
              <w:t>ii  nu</w:t>
            </w:r>
            <w:proofErr w:type="gramEnd"/>
            <w:r w:rsidRPr="0088641A">
              <w:t xml:space="preserve"> au mai fost făcute în teritoriul GAL MMTMM. Cooperarea între instituții științifice și de cultură, autorități locale, persoane fizice, societăți economice și ONG-uri preocupate de conservarea și valorificarea durabilă a patrimoniului local este o abordare nouă.</w:t>
            </w:r>
          </w:p>
        </w:tc>
      </w:tr>
      <w:tr w:rsidR="00637B76" w:rsidRPr="0088641A" w:rsidTr="00C0148D">
        <w:trPr>
          <w:trHeight w:val="294"/>
        </w:trPr>
        <w:tc>
          <w:tcPr>
            <w:tcW w:w="9351" w:type="dxa"/>
            <w:gridSpan w:val="2"/>
            <w:vAlign w:val="center"/>
          </w:tcPr>
          <w:p w:rsidR="00637B76" w:rsidRPr="0088641A" w:rsidRDefault="00637B76" w:rsidP="00C0148D">
            <w:pPr>
              <w:pStyle w:val="ListParagraph"/>
              <w:tabs>
                <w:tab w:val="left" w:pos="142"/>
                <w:tab w:val="left" w:pos="284"/>
                <w:tab w:val="left" w:pos="510"/>
              </w:tabs>
              <w:spacing w:line="276" w:lineRule="auto"/>
              <w:ind w:left="0" w:firstLine="0"/>
              <w:rPr>
                <w:rFonts w:ascii="Trebuchet MS" w:hAnsi="Trebuchet MS"/>
                <w:sz w:val="22"/>
              </w:rPr>
            </w:pPr>
            <w:r w:rsidRPr="0088641A">
              <w:rPr>
                <w:rFonts w:ascii="Trebuchet MS" w:hAnsi="Trebuchet MS"/>
                <w:sz w:val="22"/>
              </w:rPr>
              <w:t xml:space="preserve">Mediu </w:t>
            </w:r>
          </w:p>
        </w:tc>
      </w:tr>
      <w:tr w:rsidR="00637B76" w:rsidRPr="0088641A" w:rsidTr="00C0148D">
        <w:trPr>
          <w:trHeight w:val="294"/>
        </w:trPr>
        <w:tc>
          <w:tcPr>
            <w:tcW w:w="9351" w:type="dxa"/>
            <w:gridSpan w:val="2"/>
            <w:vAlign w:val="center"/>
          </w:tcPr>
          <w:p w:rsidR="00637B76" w:rsidRPr="0088641A" w:rsidRDefault="00637B76" w:rsidP="00C0148D">
            <w:pPr>
              <w:tabs>
                <w:tab w:val="left" w:pos="284"/>
              </w:tabs>
              <w:spacing w:line="276" w:lineRule="auto"/>
              <w:ind w:left="0" w:right="0" w:firstLine="0"/>
            </w:pPr>
            <w:r w:rsidRPr="0088641A">
              <w:rPr>
                <w:bCs/>
              </w:rPr>
              <w:t xml:space="preserve">Activitățile de refacere, conservare și consolidare </w:t>
            </w:r>
            <w:proofErr w:type="gramStart"/>
            <w:r w:rsidRPr="0088641A">
              <w:rPr>
                <w:bCs/>
              </w:rPr>
              <w:t>a  zonelor</w:t>
            </w:r>
            <w:proofErr w:type="gramEnd"/>
            <w:r w:rsidRPr="0088641A">
              <w:rPr>
                <w:bCs/>
              </w:rPr>
              <w:t xml:space="preserve"> cu valoare naturală ridicată, inclusiv a siturilor Natura 2000 , sunt în sine măsuri de mediu  iar valorificarea durabilă presupune </w:t>
            </w:r>
            <w:r w:rsidRPr="0088641A">
              <w:t>finanțarea doar a proiectelor care respectă un set de reguli de protecție a mediului.</w:t>
            </w:r>
          </w:p>
          <w:p w:rsidR="00637B76" w:rsidRPr="0088641A" w:rsidRDefault="00637B76" w:rsidP="00C0148D">
            <w:pPr>
              <w:tabs>
                <w:tab w:val="left" w:pos="284"/>
              </w:tabs>
              <w:spacing w:line="276" w:lineRule="auto"/>
              <w:ind w:left="0" w:right="0" w:firstLine="0"/>
            </w:pPr>
            <w:r w:rsidRPr="0088641A">
              <w:t xml:space="preserve">Activitățile de conservare a arhitecturii locale sunt activități prietenoase cu mediul local întrucât materialele și practicile tradiționale s-au „acomodat” cu mediul în sute de ani de conviețuire, iar valorificarea patrimoniului presupune finanțarea doar a unor  proiecte care respectă un set de reguli minime de protecție a mediului. </w:t>
            </w:r>
          </w:p>
        </w:tc>
      </w:tr>
      <w:tr w:rsidR="00637B76" w:rsidRPr="0088641A" w:rsidTr="00C0148D">
        <w:tc>
          <w:tcPr>
            <w:tcW w:w="9351" w:type="dxa"/>
            <w:gridSpan w:val="2"/>
            <w:vAlign w:val="center"/>
          </w:tcPr>
          <w:p w:rsidR="00637B76" w:rsidRPr="0088641A" w:rsidRDefault="00637B76" w:rsidP="00637B76">
            <w:pPr>
              <w:pStyle w:val="ListParagraph"/>
              <w:numPr>
                <w:ilvl w:val="1"/>
                <w:numId w:val="4"/>
              </w:numPr>
              <w:tabs>
                <w:tab w:val="left" w:pos="142"/>
                <w:tab w:val="left" w:pos="284"/>
                <w:tab w:val="left" w:pos="540"/>
              </w:tabs>
              <w:spacing w:after="0" w:line="276" w:lineRule="auto"/>
              <w:ind w:left="0" w:firstLine="0"/>
              <w:rPr>
                <w:rFonts w:ascii="Trebuchet MS" w:hAnsi="Trebuchet MS"/>
                <w:sz w:val="22"/>
              </w:rPr>
            </w:pPr>
            <w:r w:rsidRPr="0088641A">
              <w:rPr>
                <w:rFonts w:ascii="Trebuchet MS" w:hAnsi="Trebuchet MS"/>
                <w:sz w:val="22"/>
              </w:rPr>
              <w:t>Complementaritate cu alte măsuri din SDL</w:t>
            </w:r>
          </w:p>
        </w:tc>
      </w:tr>
      <w:tr w:rsidR="00637B76" w:rsidRPr="0088641A" w:rsidTr="00C0148D">
        <w:tc>
          <w:tcPr>
            <w:tcW w:w="9351" w:type="dxa"/>
            <w:gridSpan w:val="2"/>
            <w:vAlign w:val="center"/>
          </w:tcPr>
          <w:p w:rsidR="00637B76" w:rsidRPr="0088641A" w:rsidRDefault="00637B76" w:rsidP="00C0148D">
            <w:pPr>
              <w:pStyle w:val="ListParagraph"/>
              <w:tabs>
                <w:tab w:val="left" w:pos="142"/>
                <w:tab w:val="left" w:pos="284"/>
                <w:tab w:val="left" w:pos="540"/>
              </w:tabs>
              <w:spacing w:line="276" w:lineRule="auto"/>
              <w:ind w:left="0" w:firstLine="0"/>
              <w:rPr>
                <w:rFonts w:ascii="Trebuchet MS" w:hAnsi="Trebuchet MS"/>
                <w:sz w:val="22"/>
              </w:rPr>
            </w:pPr>
            <w:r w:rsidRPr="00561A36">
              <w:rPr>
                <w:rFonts w:ascii="Trebuchet MS" w:hAnsi="Trebuchet MS"/>
                <w:color w:val="auto"/>
                <w:sz w:val="22"/>
              </w:rPr>
              <w:t xml:space="preserve">Măsura este complementară cu </w:t>
            </w:r>
            <w:r w:rsidRPr="00561A36">
              <w:rPr>
                <w:rFonts w:ascii="Trebuchet MS" w:hAnsi="Trebuchet MS" w:cs="Times New Roman"/>
                <w:color w:val="auto"/>
                <w:sz w:val="22"/>
                <w:lang w:val="ro-RO"/>
              </w:rPr>
              <w:t>M4/2A Infrastructura de acces agricol, silvic și în situri Natura 2000,</w:t>
            </w:r>
            <w:r w:rsidRPr="00561A36">
              <w:rPr>
                <w:rFonts w:ascii="Trebuchet MS" w:hAnsi="Trebuchet MS"/>
                <w:color w:val="auto"/>
                <w:sz w:val="22"/>
              </w:rPr>
              <w:t xml:space="preserve"> </w:t>
            </w:r>
            <w:r w:rsidRPr="00561A36">
              <w:rPr>
                <w:rFonts w:ascii="Trebuchet MS" w:hAnsi="Trebuchet MS" w:cs="Times New Roman"/>
                <w:color w:val="auto"/>
                <w:sz w:val="22"/>
                <w:lang w:val="ro-RO"/>
              </w:rPr>
              <w:t>M7.1/6.B- Infrastructură de acces și</w:t>
            </w:r>
            <w:r w:rsidRPr="00561A36">
              <w:rPr>
                <w:rFonts w:ascii="Trebuchet MS" w:hAnsi="Trebuchet MS"/>
                <w:color w:val="auto"/>
                <w:sz w:val="22"/>
              </w:rPr>
              <w:t xml:space="preserve"> M6.1/2A- Dezvoltarea fermelor zootehnice.</w:t>
            </w:r>
            <w:r w:rsidRPr="00561A36">
              <w:rPr>
                <w:rFonts w:ascii="Trebuchet MS" w:hAnsi="Trebuchet MS" w:cs="Arial"/>
                <w:color w:val="auto"/>
                <w:sz w:val="22"/>
              </w:rPr>
              <w:t xml:space="preserve"> Complementaritatea se a</w:t>
            </w:r>
            <w:r w:rsidRPr="00561A36">
              <w:rPr>
                <w:rFonts w:ascii="Trebuchet MS" w:hAnsi="Trebuchet MS"/>
                <w:color w:val="auto"/>
                <w:sz w:val="22"/>
              </w:rPr>
              <w:t>sigură</w:t>
            </w:r>
            <w:r w:rsidRPr="00561A36">
              <w:rPr>
                <w:rFonts w:ascii="Trebuchet MS" w:hAnsi="Trebuchet MS" w:cs="Arial"/>
                <w:color w:val="auto"/>
                <w:sz w:val="22"/>
              </w:rPr>
              <w:t xml:space="preserve"> prin </w:t>
            </w:r>
            <w:r w:rsidRPr="00561A36">
              <w:rPr>
                <w:rFonts w:ascii="Trebuchet MS" w:hAnsi="Trebuchet MS" w:cs="Arial"/>
                <w:color w:val="auto"/>
                <w:sz w:val="22"/>
                <w:u w:val="single"/>
              </w:rPr>
              <w:t>impunerea unor criterii de selecție</w:t>
            </w:r>
            <w:r w:rsidRPr="00561A36">
              <w:rPr>
                <w:rFonts w:ascii="Trebuchet MS" w:hAnsi="Trebuchet MS" w:cs="Arial"/>
                <w:color w:val="auto"/>
                <w:sz w:val="22"/>
              </w:rPr>
              <w:t xml:space="preserve"> a proiectelor</w:t>
            </w:r>
          </w:p>
        </w:tc>
      </w:tr>
      <w:tr w:rsidR="00637B76" w:rsidRPr="0088641A" w:rsidTr="00C0148D">
        <w:tc>
          <w:tcPr>
            <w:tcW w:w="9351" w:type="dxa"/>
            <w:gridSpan w:val="2"/>
            <w:vAlign w:val="center"/>
          </w:tcPr>
          <w:p w:rsidR="00637B76" w:rsidRPr="0088641A" w:rsidRDefault="00637B76" w:rsidP="00637B76">
            <w:pPr>
              <w:pStyle w:val="ListParagraph"/>
              <w:numPr>
                <w:ilvl w:val="1"/>
                <w:numId w:val="4"/>
              </w:numPr>
              <w:tabs>
                <w:tab w:val="left" w:pos="142"/>
                <w:tab w:val="left" w:pos="284"/>
              </w:tabs>
              <w:spacing w:after="0" w:line="276" w:lineRule="auto"/>
              <w:ind w:left="0" w:firstLine="0"/>
              <w:rPr>
                <w:rFonts w:ascii="Trebuchet MS" w:hAnsi="Trebuchet MS"/>
                <w:sz w:val="22"/>
              </w:rPr>
            </w:pPr>
            <w:r w:rsidRPr="0088641A">
              <w:rPr>
                <w:rFonts w:ascii="Trebuchet MS" w:hAnsi="Trebuchet MS"/>
                <w:sz w:val="22"/>
              </w:rPr>
              <w:t xml:space="preserve">Sinergia cu alte măsuri din SDL </w:t>
            </w:r>
          </w:p>
        </w:tc>
      </w:tr>
      <w:tr w:rsidR="00637B76" w:rsidRPr="0088641A" w:rsidTr="00C0148D">
        <w:tc>
          <w:tcPr>
            <w:tcW w:w="9351" w:type="dxa"/>
            <w:gridSpan w:val="2"/>
            <w:vAlign w:val="center"/>
          </w:tcPr>
          <w:p w:rsidR="00637B76" w:rsidRPr="0088641A" w:rsidRDefault="00637B76" w:rsidP="00C0148D">
            <w:pPr>
              <w:spacing w:after="80" w:line="276" w:lineRule="auto"/>
              <w:ind w:right="0"/>
            </w:pPr>
            <w:r w:rsidRPr="0088641A">
              <w:t xml:space="preserve">Prezenta măsură, împreună cu M 6.2/6A DEZVOLTAREA ÎNTREPRINDERILOR, M7/6B - INFRASTRUCTURA DE ACCES, și </w:t>
            </w:r>
            <w:r w:rsidRPr="0088641A">
              <w:rPr>
                <w:color w:val="auto"/>
              </w:rPr>
              <w:t>M7.2/6B- INFRASTRUCTURA PENTRU SERVICII LOCALE</w:t>
            </w:r>
            <w:r w:rsidRPr="0088641A">
              <w:rPr>
                <w:color w:val="FF0000"/>
              </w:rPr>
              <w:t xml:space="preserve"> </w:t>
            </w:r>
            <w:r w:rsidRPr="0088641A">
              <w:rPr>
                <w:color w:val="auto"/>
              </w:rPr>
              <w:t xml:space="preserve">DE BAZĂ </w:t>
            </w:r>
            <w:r w:rsidRPr="0088641A">
              <w:t>contribuie la realizarea Priorității 6 - Promovarea incluziunii sociale, reducerea sărăciei şi dezvoltare economică în zonele rurale</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3225"/>
              </w:tabs>
              <w:spacing w:after="0" w:line="276" w:lineRule="auto"/>
              <w:ind w:left="0" w:firstLine="0"/>
              <w:outlineLvl w:val="0"/>
              <w:rPr>
                <w:rFonts w:ascii="Trebuchet MS" w:hAnsi="Trebuchet MS"/>
                <w:sz w:val="22"/>
              </w:rPr>
            </w:pPr>
            <w:r w:rsidRPr="0088641A">
              <w:rPr>
                <w:rFonts w:ascii="Trebuchet MS" w:hAnsi="Trebuchet MS"/>
                <w:sz w:val="22"/>
              </w:rPr>
              <w:t>Valoarea adăugată a măsurii</w:t>
            </w:r>
          </w:p>
        </w:tc>
      </w:tr>
      <w:tr w:rsidR="00637B76" w:rsidRPr="0088641A" w:rsidTr="00C0148D">
        <w:tc>
          <w:tcPr>
            <w:tcW w:w="9351" w:type="dxa"/>
            <w:gridSpan w:val="2"/>
            <w:vAlign w:val="center"/>
          </w:tcPr>
          <w:p w:rsidR="00637B76" w:rsidRPr="0088641A" w:rsidRDefault="00637B76" w:rsidP="00C0148D">
            <w:pPr>
              <w:spacing w:after="0" w:line="276" w:lineRule="auto"/>
              <w:ind w:left="0" w:right="0" w:firstLine="0"/>
              <w:rPr>
                <w:color w:val="auto"/>
              </w:rPr>
            </w:pPr>
            <w:r w:rsidRPr="0088641A">
              <w:rPr>
                <w:color w:val="auto"/>
              </w:rPr>
              <w:t xml:space="preserve">Valoarea adăugată </w:t>
            </w:r>
            <w:proofErr w:type="gramStart"/>
            <w:r w:rsidRPr="0088641A">
              <w:rPr>
                <w:color w:val="auto"/>
              </w:rPr>
              <w:t>a</w:t>
            </w:r>
            <w:proofErr w:type="gramEnd"/>
            <w:r w:rsidRPr="0088641A">
              <w:rPr>
                <w:color w:val="auto"/>
              </w:rPr>
              <w:t xml:space="preserve"> acestei măsuri este generată atât de caracterul inovator menționat mai sus cât și de impactul generat de aceasta pentru economia din teritoriului GAL MMTMM. </w:t>
            </w:r>
            <w:r w:rsidRPr="0088641A">
              <w:t xml:space="preserve">Proiectele de valorificare a patrimoniului local vor duce la creșterea fluxului de turiști, care vor putea vizita obiectivele într-un mod sigur, interactiv, interesant și cu un impact cât mai mic asupra respectivelor obiective. Datorită </w:t>
            </w:r>
            <w:r w:rsidRPr="0088641A">
              <w:lastRenderedPageBreak/>
              <w:t xml:space="preserve">investițiilor în patrimoniul imaterial, turiștii vor fi încurajați să petreacă mai mult timp în teritoriu. Acest lucru înseamnă mai multe venituri pentru toți agenții economici locali – valoarea adăugată a turismului constă tocmai în acest aspect, că veniturile încasate în teritoriu nu se rezumă doar la unitățile de primire turistică, ci și la restaurante/magazine/furnizori servicii de agrement etc. De asemenea, conservarea/promovarea anumitor elemente de patrimoniu imaterial (meșteșuguri îndeosebi) va duce la apariția unor surse noi de venit. </w:t>
            </w:r>
          </w:p>
          <w:p w:rsidR="00637B76" w:rsidRPr="0088641A" w:rsidRDefault="00637B76" w:rsidP="00C0148D">
            <w:pPr>
              <w:pStyle w:val="ListParagraph"/>
              <w:tabs>
                <w:tab w:val="left" w:pos="284"/>
              </w:tabs>
              <w:spacing w:line="276" w:lineRule="auto"/>
              <w:ind w:left="0" w:firstLine="0"/>
              <w:rPr>
                <w:rFonts w:ascii="Trebuchet MS" w:hAnsi="Trebuchet MS"/>
                <w:sz w:val="22"/>
              </w:rPr>
            </w:pPr>
            <w:r w:rsidRPr="0088641A">
              <w:rPr>
                <w:rFonts w:ascii="Trebuchet MS" w:hAnsi="Trebuchet MS"/>
                <w:sz w:val="22"/>
              </w:rPr>
              <w:t xml:space="preserve">Toate aceste venituri în plus duc la dezvoltarea activităților economice din teritoriu și la o diversificare a produselor/serviciilor oferite (mai multe oportunități de agrement în teritoriu, ceea ce lipsește în acest moment), ceea ce înseamnă mai multe locuri de muncă la nivel local. </w:t>
            </w:r>
          </w:p>
          <w:p w:rsidR="00637B76" w:rsidRPr="0088641A" w:rsidRDefault="00637B76" w:rsidP="00C0148D">
            <w:pPr>
              <w:tabs>
                <w:tab w:val="left" w:pos="284"/>
                <w:tab w:val="left" w:pos="3225"/>
              </w:tabs>
              <w:spacing w:line="276" w:lineRule="auto"/>
              <w:ind w:left="0" w:right="0" w:firstLine="0"/>
              <w:rPr>
                <w:bCs/>
                <w:iCs/>
              </w:rPr>
            </w:pPr>
            <w:r w:rsidRPr="0088641A">
              <w:t xml:space="preserve">Astfel, valoarea adăugată </w:t>
            </w:r>
            <w:proofErr w:type="gramStart"/>
            <w:r w:rsidRPr="0088641A">
              <w:t>a</w:t>
            </w:r>
            <w:proofErr w:type="gramEnd"/>
            <w:r w:rsidRPr="0088641A">
              <w:t xml:space="preserve"> acestei măsuri este dată și de potențialul multiplicator pe care îl are, ducând la o dezvoltare continuă, durabilă și sustenabilă a teritoriului. </w:t>
            </w:r>
            <w:r w:rsidRPr="0088641A">
              <w:rPr>
                <w:bCs/>
                <w:iCs/>
              </w:rPr>
              <w:t xml:space="preserve">De asemenea, valoarea adăugată </w:t>
            </w:r>
            <w:proofErr w:type="gramStart"/>
            <w:r w:rsidRPr="0088641A">
              <w:rPr>
                <w:bCs/>
                <w:iCs/>
              </w:rPr>
              <w:t>a</w:t>
            </w:r>
            <w:proofErr w:type="gramEnd"/>
            <w:r w:rsidRPr="0088641A">
              <w:rPr>
                <w:bCs/>
                <w:iCs/>
              </w:rPr>
              <w:t xml:space="preserve"> măsurii este evidențiată și prin criteriile de selecție aplicate.</w:t>
            </w:r>
            <w:r w:rsidRPr="0088641A">
              <w:rPr>
                <w:color w:val="auto"/>
              </w:rPr>
              <w:t xml:space="preserve"> </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s>
              <w:spacing w:after="0" w:line="276" w:lineRule="auto"/>
              <w:ind w:left="0" w:firstLine="0"/>
              <w:outlineLvl w:val="0"/>
              <w:rPr>
                <w:rFonts w:ascii="Trebuchet MS" w:hAnsi="Trebuchet MS"/>
                <w:sz w:val="22"/>
              </w:rPr>
            </w:pPr>
            <w:r w:rsidRPr="0088641A">
              <w:rPr>
                <w:rFonts w:ascii="Trebuchet MS" w:hAnsi="Trebuchet MS"/>
                <w:sz w:val="22"/>
              </w:rPr>
              <w:lastRenderedPageBreak/>
              <w:t>Trimiteri la alte acte legislative</w:t>
            </w:r>
          </w:p>
        </w:tc>
      </w:tr>
      <w:tr w:rsidR="00637B76" w:rsidRPr="0088641A" w:rsidTr="00C0148D">
        <w:tc>
          <w:tcPr>
            <w:tcW w:w="9351" w:type="dxa"/>
            <w:gridSpan w:val="2"/>
            <w:vAlign w:val="center"/>
          </w:tcPr>
          <w:p w:rsidR="00637B76" w:rsidRPr="0088641A" w:rsidRDefault="00637B76" w:rsidP="00C0148D">
            <w:pPr>
              <w:tabs>
                <w:tab w:val="left" w:pos="284"/>
                <w:tab w:val="left" w:pos="3225"/>
              </w:tabs>
              <w:spacing w:line="276" w:lineRule="auto"/>
              <w:ind w:left="0" w:right="0" w:firstLine="0"/>
              <w:rPr>
                <w:bCs/>
                <w:iCs/>
              </w:rPr>
            </w:pPr>
            <w:r w:rsidRPr="0088641A">
              <w:rPr>
                <w:bCs/>
                <w:iCs/>
              </w:rPr>
              <w:t>Legislație europeană</w:t>
            </w:r>
          </w:p>
        </w:tc>
      </w:tr>
      <w:tr w:rsidR="00637B76" w:rsidRPr="0088641A" w:rsidTr="00C0148D">
        <w:tc>
          <w:tcPr>
            <w:tcW w:w="9351" w:type="dxa"/>
            <w:gridSpan w:val="2"/>
            <w:vAlign w:val="center"/>
          </w:tcPr>
          <w:p w:rsidR="00637B76" w:rsidRPr="0088641A" w:rsidRDefault="00637B76" w:rsidP="00637B76">
            <w:pPr>
              <w:pStyle w:val="ListParagraph"/>
              <w:numPr>
                <w:ilvl w:val="0"/>
                <w:numId w:val="5"/>
              </w:numPr>
              <w:tabs>
                <w:tab w:val="clear" w:pos="720"/>
                <w:tab w:val="num" w:pos="0"/>
                <w:tab w:val="left" w:pos="283"/>
                <w:tab w:val="left" w:pos="1410"/>
              </w:tabs>
              <w:spacing w:line="276" w:lineRule="auto"/>
              <w:ind w:left="0" w:firstLine="0"/>
              <w:outlineLvl w:val="0"/>
              <w:rPr>
                <w:rFonts w:ascii="Trebuchet MS" w:hAnsi="Trebuchet MS"/>
                <w:sz w:val="22"/>
                <w:lang w:val="ro-RO"/>
              </w:rPr>
            </w:pPr>
            <w:r w:rsidRPr="0088641A">
              <w:rPr>
                <w:rFonts w:ascii="Trebuchet MS" w:hAnsi="Trebuchet MS"/>
                <w:bCs/>
                <w:sz w:val="22"/>
              </w:rPr>
              <w:t xml:space="preserve">Regulamentul (UE) Nr. 1305/2013 </w:t>
            </w:r>
            <w:r w:rsidRPr="0088641A">
              <w:rPr>
                <w:rFonts w:ascii="Trebuchet MS" w:hAnsi="Trebuchet MS"/>
                <w:iCs/>
                <w:sz w:val="22"/>
              </w:rPr>
              <w:t>privind sprijinul pentru dezvoltare rurală</w:t>
            </w:r>
          </w:p>
          <w:p w:rsidR="00637B76" w:rsidRPr="0088641A" w:rsidRDefault="00637B76" w:rsidP="00637B76">
            <w:pPr>
              <w:pStyle w:val="ListParagraph"/>
              <w:numPr>
                <w:ilvl w:val="0"/>
                <w:numId w:val="5"/>
              </w:numPr>
              <w:tabs>
                <w:tab w:val="clear" w:pos="720"/>
                <w:tab w:val="num" w:pos="0"/>
                <w:tab w:val="left" w:pos="283"/>
                <w:tab w:val="left" w:pos="1410"/>
              </w:tabs>
              <w:spacing w:line="276" w:lineRule="auto"/>
              <w:ind w:left="0" w:firstLine="0"/>
              <w:outlineLvl w:val="0"/>
              <w:rPr>
                <w:rFonts w:ascii="Trebuchet MS" w:hAnsi="Trebuchet MS"/>
                <w:sz w:val="22"/>
                <w:lang w:val="ro-RO"/>
              </w:rPr>
            </w:pPr>
            <w:r w:rsidRPr="0088641A">
              <w:rPr>
                <w:rFonts w:ascii="Trebuchet MS" w:hAnsi="Trebuchet MS"/>
                <w:bCs/>
                <w:iCs/>
                <w:sz w:val="22"/>
              </w:rPr>
              <w:t>Regulamentul (UE) Nr. 1303/2013</w:t>
            </w:r>
            <w:r w:rsidRPr="0088641A">
              <w:rPr>
                <w:rFonts w:ascii="Trebuchet MS" w:hAnsi="Trebuchet MS"/>
                <w:iCs/>
                <w:sz w:val="22"/>
              </w:rPr>
              <w:t xml:space="preserve"> de stabilire a unor dispoziții comune privind Fondul european de dezvoltare regională, Fondul social european, Fondul de coeziune, Fondul european agricol pentru dezvoltare rurală și Fondul european pentru pescuit și afaceri maritime</w:t>
            </w:r>
          </w:p>
          <w:p w:rsidR="00637B76" w:rsidRPr="0088641A" w:rsidRDefault="00637B76" w:rsidP="00C0148D">
            <w:pPr>
              <w:tabs>
                <w:tab w:val="left" w:pos="284"/>
                <w:tab w:val="left" w:pos="3225"/>
              </w:tabs>
              <w:spacing w:line="276" w:lineRule="auto"/>
              <w:ind w:left="0" w:right="0" w:firstLine="0"/>
              <w:rPr>
                <w:bCs/>
                <w:iCs/>
              </w:rPr>
            </w:pPr>
            <w:r w:rsidRPr="0088641A">
              <w:rPr>
                <w:bCs/>
              </w:rPr>
              <w:t xml:space="preserve">Regulamentul </w:t>
            </w:r>
            <w:r w:rsidRPr="0088641A">
              <w:rPr>
                <w:iCs/>
              </w:rPr>
              <w:t>de aplicare a Regulamentului (UE) Nr. 1305/2013 privind sprijinul pentru dezvoltare rurală acordat din Fondul european agricol pentru dezvoltare rurală (FEADR)</w:t>
            </w:r>
          </w:p>
        </w:tc>
      </w:tr>
      <w:tr w:rsidR="00637B76" w:rsidRPr="0088641A" w:rsidTr="00C0148D">
        <w:tc>
          <w:tcPr>
            <w:tcW w:w="9351" w:type="dxa"/>
            <w:gridSpan w:val="2"/>
            <w:vAlign w:val="center"/>
          </w:tcPr>
          <w:p w:rsidR="00637B76" w:rsidRPr="0088641A" w:rsidRDefault="00637B76" w:rsidP="00C0148D">
            <w:pPr>
              <w:tabs>
                <w:tab w:val="left" w:pos="284"/>
                <w:tab w:val="left" w:pos="3225"/>
              </w:tabs>
              <w:spacing w:line="276" w:lineRule="auto"/>
              <w:ind w:left="0" w:right="0" w:firstLine="0"/>
              <w:rPr>
                <w:bCs/>
                <w:iCs/>
              </w:rPr>
            </w:pPr>
            <w:r w:rsidRPr="0088641A">
              <w:rPr>
                <w:bCs/>
                <w:iCs/>
              </w:rPr>
              <w:t>Legislație națională</w:t>
            </w:r>
          </w:p>
        </w:tc>
      </w:tr>
      <w:tr w:rsidR="00637B76" w:rsidRPr="0088641A" w:rsidTr="00C0148D">
        <w:tc>
          <w:tcPr>
            <w:tcW w:w="9351" w:type="dxa"/>
            <w:gridSpan w:val="2"/>
            <w:vAlign w:val="center"/>
          </w:tcPr>
          <w:p w:rsidR="00637B76" w:rsidRPr="0088641A" w:rsidRDefault="00637B76" w:rsidP="00637B76">
            <w:pPr>
              <w:numPr>
                <w:ilvl w:val="0"/>
                <w:numId w:val="3"/>
              </w:numPr>
              <w:tabs>
                <w:tab w:val="left" w:pos="285"/>
              </w:tabs>
              <w:spacing w:after="0" w:line="276" w:lineRule="auto"/>
              <w:ind w:left="0" w:right="0" w:firstLine="0"/>
              <w:contextualSpacing/>
              <w:rPr>
                <w:rFonts w:cs="Times New Roman"/>
              </w:rPr>
            </w:pPr>
            <w:r w:rsidRPr="0088641A">
              <w:rPr>
                <w:rFonts w:cs="Times New Roman"/>
              </w:rPr>
              <w:t>Ordonanța de Guvern 26/2000 cu privire la asociații și fundații</w:t>
            </w:r>
          </w:p>
          <w:p w:rsidR="00637B76" w:rsidRPr="0088641A" w:rsidRDefault="00637B76" w:rsidP="00637B76">
            <w:pPr>
              <w:numPr>
                <w:ilvl w:val="0"/>
                <w:numId w:val="6"/>
              </w:numPr>
              <w:tabs>
                <w:tab w:val="left" w:pos="285"/>
              </w:tabs>
              <w:spacing w:after="0" w:line="276" w:lineRule="auto"/>
              <w:ind w:left="0" w:right="0" w:firstLine="0"/>
              <w:contextualSpacing/>
              <w:rPr>
                <w:rFonts w:cs="Times New Roman"/>
                <w:bCs/>
              </w:rPr>
            </w:pPr>
            <w:r w:rsidRPr="0088641A">
              <w:rPr>
                <w:rFonts w:cs="Times New Roman"/>
                <w:bCs/>
              </w:rPr>
              <w:t>Legea nr. 36/ 1991 privind societăţile agricole şi alte forme de asociere în agricultură, cu modificările și completările ulterioare</w:t>
            </w:r>
          </w:p>
          <w:p w:rsidR="00637B76" w:rsidRPr="0088641A" w:rsidRDefault="00637B76" w:rsidP="00637B76">
            <w:pPr>
              <w:numPr>
                <w:ilvl w:val="0"/>
                <w:numId w:val="6"/>
              </w:numPr>
              <w:tabs>
                <w:tab w:val="left" w:pos="285"/>
              </w:tabs>
              <w:spacing w:after="0" w:line="276" w:lineRule="auto"/>
              <w:ind w:left="0" w:right="0" w:firstLine="0"/>
              <w:contextualSpacing/>
              <w:rPr>
                <w:rFonts w:cs="Times New Roman"/>
                <w:bCs/>
              </w:rPr>
            </w:pPr>
            <w:r w:rsidRPr="0088641A">
              <w:rPr>
                <w:rFonts w:cs="Times New Roman"/>
                <w:bCs/>
              </w:rPr>
              <w:t>Legea nr. 1/ 2005 privind organizarea şi funcţionarea cooperaţiei cu completările și modificările ulterioare</w:t>
            </w:r>
          </w:p>
          <w:p w:rsidR="00637B76" w:rsidRPr="0088641A" w:rsidRDefault="00637B76" w:rsidP="00637B76">
            <w:pPr>
              <w:numPr>
                <w:ilvl w:val="0"/>
                <w:numId w:val="6"/>
              </w:numPr>
              <w:tabs>
                <w:tab w:val="left" w:pos="285"/>
              </w:tabs>
              <w:spacing w:after="0" w:line="276" w:lineRule="auto"/>
              <w:ind w:left="0" w:right="0" w:firstLine="0"/>
              <w:contextualSpacing/>
              <w:rPr>
                <w:rFonts w:cs="Times New Roman"/>
                <w:bCs/>
              </w:rPr>
            </w:pPr>
            <w:r w:rsidRPr="0088641A">
              <w:rPr>
                <w:rFonts w:cs="Times New Roman"/>
                <w:bCs/>
              </w:rPr>
              <w:t>Legea cooperației agricole nr. 566/ 2004, cu modificările și completările ulterioare</w:t>
            </w:r>
          </w:p>
          <w:p w:rsidR="00637B76" w:rsidRPr="0088641A" w:rsidRDefault="00637B76" w:rsidP="00637B76">
            <w:pPr>
              <w:numPr>
                <w:ilvl w:val="0"/>
                <w:numId w:val="6"/>
              </w:numPr>
              <w:tabs>
                <w:tab w:val="left" w:pos="285"/>
              </w:tabs>
              <w:spacing w:after="0" w:line="276" w:lineRule="auto"/>
              <w:ind w:left="0" w:right="0" w:firstLine="0"/>
              <w:contextualSpacing/>
              <w:rPr>
                <w:rFonts w:cs="Times New Roman"/>
                <w:bCs/>
              </w:rPr>
            </w:pPr>
            <w:r w:rsidRPr="0088641A">
              <w:rPr>
                <w:rFonts w:cs="Times New Roman"/>
                <w:bCs/>
              </w:rPr>
              <w:t>Ordonanța nr. 37/2005 privind recunoașterea și funcționarea grupurilor și organizațiilor de producători pentru comercializarea produselor agricole și silvice cu completările și modificările ulterioare</w:t>
            </w:r>
          </w:p>
          <w:p w:rsidR="00637B76" w:rsidRPr="0088641A" w:rsidRDefault="00637B76" w:rsidP="00637B76">
            <w:pPr>
              <w:numPr>
                <w:ilvl w:val="0"/>
                <w:numId w:val="6"/>
              </w:numPr>
              <w:tabs>
                <w:tab w:val="left" w:pos="285"/>
              </w:tabs>
              <w:spacing w:after="0" w:line="276" w:lineRule="auto"/>
              <w:ind w:left="0" w:right="0" w:firstLine="0"/>
              <w:contextualSpacing/>
              <w:rPr>
                <w:rFonts w:cs="Times New Roman"/>
                <w:bCs/>
              </w:rPr>
            </w:pPr>
            <w:r w:rsidRPr="0088641A">
              <w:rPr>
                <w:rFonts w:cs="Times New Roman"/>
                <w:bCs/>
              </w:rPr>
              <w:t xml:space="preserve">OUG nr. 44/2008 privind desfăşurarea activităţilor economice de către persoanele fizice autorizate, întreprinderile individuale şi întreprinderile familiale, cu modificările ulterioare </w:t>
            </w:r>
          </w:p>
          <w:p w:rsidR="00637B76" w:rsidRPr="0088641A" w:rsidRDefault="00637B76" w:rsidP="00C0148D">
            <w:pPr>
              <w:tabs>
                <w:tab w:val="left" w:pos="284"/>
                <w:tab w:val="left" w:pos="3225"/>
              </w:tabs>
              <w:spacing w:line="276" w:lineRule="auto"/>
              <w:ind w:left="0" w:right="0" w:firstLine="0"/>
              <w:rPr>
                <w:bCs/>
                <w:iCs/>
              </w:rPr>
            </w:pPr>
            <w:r w:rsidRPr="0088641A">
              <w:rPr>
                <w:rFonts w:cs="Times New Roman"/>
                <w:bCs/>
              </w:rPr>
              <w:t>Legea nr. 227/2015 privind Codul fiscal, cu modificările și completările aplicabile</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s>
              <w:spacing w:after="0" w:line="276" w:lineRule="auto"/>
              <w:ind w:left="0" w:firstLine="0"/>
              <w:outlineLvl w:val="0"/>
              <w:rPr>
                <w:rFonts w:ascii="Trebuchet MS" w:hAnsi="Trebuchet MS"/>
                <w:sz w:val="22"/>
              </w:rPr>
            </w:pPr>
            <w:r w:rsidRPr="0088641A">
              <w:rPr>
                <w:rFonts w:ascii="Trebuchet MS" w:hAnsi="Trebuchet MS"/>
                <w:sz w:val="22"/>
              </w:rPr>
              <w:t>Beneficiari direcți/indirecți (grup țintă)</w:t>
            </w:r>
          </w:p>
        </w:tc>
      </w:tr>
      <w:tr w:rsidR="00637B76" w:rsidRPr="0088641A" w:rsidTr="00C0148D">
        <w:tc>
          <w:tcPr>
            <w:tcW w:w="9351" w:type="dxa"/>
            <w:gridSpan w:val="2"/>
            <w:vAlign w:val="center"/>
          </w:tcPr>
          <w:p w:rsidR="00637B76" w:rsidRPr="0088641A" w:rsidRDefault="00637B76" w:rsidP="00C0148D">
            <w:pPr>
              <w:tabs>
                <w:tab w:val="left" w:pos="284"/>
                <w:tab w:val="left" w:pos="1410"/>
              </w:tabs>
              <w:spacing w:line="276" w:lineRule="auto"/>
              <w:ind w:left="0" w:right="0" w:firstLine="0"/>
              <w:outlineLvl w:val="0"/>
            </w:pPr>
            <w:r w:rsidRPr="0088641A">
              <w:rPr>
                <w:u w:val="single"/>
              </w:rPr>
              <w:t>Grupuri operaționale</w:t>
            </w:r>
            <w:r w:rsidRPr="0088641A">
              <w:t xml:space="preserve"> constituite din minim doi parteneri din categoriile de mai jos: </w:t>
            </w:r>
          </w:p>
          <w:p w:rsidR="00637B76" w:rsidRPr="0088641A" w:rsidRDefault="00637B76" w:rsidP="00637B76">
            <w:pPr>
              <w:pStyle w:val="ListParagraph"/>
              <w:numPr>
                <w:ilvl w:val="0"/>
                <w:numId w:val="7"/>
              </w:numPr>
              <w:tabs>
                <w:tab w:val="left" w:pos="167"/>
                <w:tab w:val="left" w:pos="284"/>
                <w:tab w:val="left" w:pos="313"/>
                <w:tab w:val="left" w:pos="1410"/>
              </w:tabs>
              <w:spacing w:after="0" w:line="276" w:lineRule="auto"/>
              <w:ind w:left="0" w:firstLine="0"/>
              <w:outlineLvl w:val="0"/>
              <w:rPr>
                <w:rFonts w:ascii="Trebuchet MS" w:hAnsi="Trebuchet MS"/>
                <w:sz w:val="22"/>
              </w:rPr>
            </w:pPr>
            <w:r w:rsidRPr="0088641A">
              <w:rPr>
                <w:rFonts w:ascii="Trebuchet MS" w:hAnsi="Trebuchet MS"/>
                <w:sz w:val="22"/>
              </w:rPr>
              <w:t xml:space="preserve">Instituții culturale (muzeee, istituții de cercetare etnografice) și ONG-uri specializate în promovarea patrimoniului (centre culturale, organizații ale arhitectilor) </w:t>
            </w:r>
          </w:p>
          <w:p w:rsidR="00637B76" w:rsidRPr="0088641A" w:rsidRDefault="00637B76" w:rsidP="00637B76">
            <w:pPr>
              <w:pStyle w:val="ListParagraph"/>
              <w:numPr>
                <w:ilvl w:val="0"/>
                <w:numId w:val="7"/>
              </w:numPr>
              <w:tabs>
                <w:tab w:val="left" w:pos="167"/>
                <w:tab w:val="left" w:pos="284"/>
                <w:tab w:val="left" w:pos="313"/>
                <w:tab w:val="left" w:pos="1410"/>
              </w:tabs>
              <w:spacing w:after="0" w:line="276" w:lineRule="auto"/>
              <w:ind w:left="0" w:firstLine="0"/>
              <w:outlineLvl w:val="0"/>
              <w:rPr>
                <w:rFonts w:ascii="Trebuchet MS" w:hAnsi="Trebuchet MS"/>
                <w:sz w:val="22"/>
              </w:rPr>
            </w:pPr>
            <w:r w:rsidRPr="0088641A">
              <w:rPr>
                <w:rFonts w:ascii="Trebuchet MS" w:hAnsi="Trebuchet MS"/>
                <w:sz w:val="22"/>
              </w:rPr>
              <w:t xml:space="preserve">UAT, ONG, fermieri /grup de producători/ o cooperativă sau </w:t>
            </w:r>
            <w:proofErr w:type="gramStart"/>
            <w:r w:rsidRPr="0088641A">
              <w:rPr>
                <w:rFonts w:ascii="Trebuchet MS" w:hAnsi="Trebuchet MS"/>
                <w:sz w:val="22"/>
              </w:rPr>
              <w:t>un</w:t>
            </w:r>
            <w:proofErr w:type="gramEnd"/>
            <w:r w:rsidRPr="0088641A">
              <w:rPr>
                <w:rFonts w:ascii="Trebuchet MS" w:hAnsi="Trebuchet MS"/>
                <w:sz w:val="22"/>
              </w:rPr>
              <w:t xml:space="preserve"> silvicultor/un composesorat și firme posesoare sau administratori ai unor obiective de patrimoniu natural sau architectural sau/și practicanții /potențiali practicanți ai unor practici agricole și meserii tradiționale. Pe baza temei proiectului și a problemei specific /oportunității, care vor fi abordate de Grupul Operațional, se pot alătura parteneriatului și alți parteneri relevanți (de ex. UAT-uri, ONG-uri, fermieri, silvicultori, întreprinderi private, etc.) Condițiile cu privire la forma de organizare legală a beneficiarilor vor fi detaliate în ghidul de implementare. În toate cazurile, GO li se vor cere </w:t>
            </w:r>
            <w:proofErr w:type="gramStart"/>
            <w:r w:rsidRPr="0088641A">
              <w:rPr>
                <w:rFonts w:ascii="Trebuchet MS" w:hAnsi="Trebuchet MS"/>
                <w:sz w:val="22"/>
              </w:rPr>
              <w:t>să</w:t>
            </w:r>
            <w:proofErr w:type="gramEnd"/>
            <w:r w:rsidRPr="0088641A">
              <w:rPr>
                <w:rFonts w:ascii="Trebuchet MS" w:hAnsi="Trebuchet MS"/>
                <w:sz w:val="22"/>
              </w:rPr>
              <w:t xml:space="preserve"> aibă o identitate legală (ONG, COOPERATIVĂ,) sau reguli clare de atribuire a responsabilității printre membrii GO, prin acorduri de parteneriat, înainte de plata sprijinului. </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s>
              <w:spacing w:after="0" w:line="276" w:lineRule="auto"/>
              <w:ind w:left="0" w:firstLine="0"/>
              <w:outlineLvl w:val="0"/>
              <w:rPr>
                <w:rFonts w:ascii="Trebuchet MS" w:hAnsi="Trebuchet MS"/>
                <w:sz w:val="22"/>
              </w:rPr>
            </w:pPr>
            <w:r w:rsidRPr="0088641A">
              <w:rPr>
                <w:rFonts w:ascii="Trebuchet MS" w:hAnsi="Trebuchet MS"/>
                <w:sz w:val="22"/>
              </w:rPr>
              <w:lastRenderedPageBreak/>
              <w:t>Tip de sprijin</w:t>
            </w:r>
          </w:p>
        </w:tc>
      </w:tr>
      <w:tr w:rsidR="00637B76" w:rsidRPr="0088641A" w:rsidTr="00C0148D">
        <w:tc>
          <w:tcPr>
            <w:tcW w:w="9351" w:type="dxa"/>
            <w:gridSpan w:val="2"/>
            <w:vAlign w:val="center"/>
          </w:tcPr>
          <w:p w:rsidR="00637B76" w:rsidRPr="0088641A" w:rsidRDefault="00637B76" w:rsidP="00C0148D">
            <w:pPr>
              <w:tabs>
                <w:tab w:val="left" w:pos="284"/>
                <w:tab w:val="left" w:pos="1410"/>
              </w:tabs>
              <w:spacing w:line="276" w:lineRule="auto"/>
              <w:ind w:left="0" w:right="0" w:firstLine="0"/>
            </w:pPr>
            <w:r w:rsidRPr="0088641A">
              <w:sym w:font="Symbol" w:char="F0B7"/>
            </w:r>
            <w:r w:rsidRPr="0088641A">
              <w:t xml:space="preserve"> rambursare a cheltuielilor eligibile efectuate și plătite, inclusiv pentru activităţile pregătitoare; </w:t>
            </w:r>
          </w:p>
          <w:p w:rsidR="00637B76" w:rsidRPr="0088641A" w:rsidRDefault="00637B76" w:rsidP="00C0148D">
            <w:pPr>
              <w:tabs>
                <w:tab w:val="left" w:pos="284"/>
                <w:tab w:val="left" w:pos="1410"/>
              </w:tabs>
              <w:spacing w:line="276" w:lineRule="auto"/>
              <w:ind w:left="0" w:right="0" w:firstLine="0"/>
              <w:outlineLvl w:val="0"/>
              <w:rPr>
                <w:color w:val="FF0000"/>
              </w:rPr>
            </w:pPr>
            <w:r w:rsidRPr="0088641A">
              <w:sym w:font="Symbol" w:char="F0B7"/>
            </w:r>
            <w:r w:rsidRPr="0088641A">
              <w:t xml:space="preserve"> </w:t>
            </w:r>
            <w:proofErr w:type="gramStart"/>
            <w:r w:rsidRPr="0088641A">
              <w:t>plată</w:t>
            </w:r>
            <w:proofErr w:type="gramEnd"/>
            <w:r w:rsidRPr="0088641A">
              <w:t xml:space="preserve"> în avans pentru cheltuieli de investiții, cu condiția constituirii unei garanții bancare corespunzătoare procentului de 100% din valoarea avansului, în conformitate cu articolul 45(4) și articolul 63 din Regulamentul (UE) nr. 1305/2014;</w:t>
            </w:r>
            <w:r w:rsidRPr="0088641A">
              <w:rPr>
                <w:color w:val="FF0000"/>
              </w:rPr>
              <w:t xml:space="preserve"> </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 w:val="center" w:pos="4680"/>
              </w:tabs>
              <w:spacing w:after="0" w:line="276" w:lineRule="auto"/>
              <w:ind w:left="0" w:firstLine="0"/>
              <w:outlineLvl w:val="0"/>
              <w:rPr>
                <w:rFonts w:ascii="Trebuchet MS" w:hAnsi="Trebuchet MS"/>
                <w:sz w:val="22"/>
              </w:rPr>
            </w:pPr>
            <w:r w:rsidRPr="0088641A">
              <w:rPr>
                <w:rFonts w:ascii="Trebuchet MS" w:hAnsi="Trebuchet MS"/>
                <w:sz w:val="22"/>
              </w:rPr>
              <w:t>Tipuri de acțiuni eligibile și neeligibile</w:t>
            </w:r>
          </w:p>
        </w:tc>
      </w:tr>
      <w:tr w:rsidR="00637B76" w:rsidRPr="0088641A" w:rsidTr="00C0148D">
        <w:tc>
          <w:tcPr>
            <w:tcW w:w="9351" w:type="dxa"/>
            <w:gridSpan w:val="2"/>
            <w:vAlign w:val="center"/>
          </w:tcPr>
          <w:p w:rsidR="00637B76" w:rsidRPr="0088641A" w:rsidRDefault="00637B76" w:rsidP="00C0148D">
            <w:pPr>
              <w:tabs>
                <w:tab w:val="left" w:pos="284"/>
                <w:tab w:val="left" w:pos="1410"/>
              </w:tabs>
              <w:spacing w:line="276" w:lineRule="auto"/>
              <w:ind w:left="0" w:right="0" w:firstLine="0"/>
            </w:pPr>
            <w:r w:rsidRPr="0088641A">
              <w:t>Activitățile eligibile în cadrul acestei sub-măsuri sunt limitate la următoarele activități:</w:t>
            </w:r>
          </w:p>
          <w:p w:rsidR="00637B76" w:rsidRPr="0088641A" w:rsidRDefault="00637B76" w:rsidP="00C0148D">
            <w:pPr>
              <w:tabs>
                <w:tab w:val="left" w:pos="284"/>
                <w:tab w:val="left" w:pos="1410"/>
              </w:tabs>
              <w:spacing w:line="276" w:lineRule="auto"/>
              <w:ind w:left="0" w:right="0" w:firstLine="0"/>
              <w:rPr>
                <w:rFonts w:cs="EUAlbertina"/>
              </w:rPr>
            </w:pPr>
            <w:proofErr w:type="gramStart"/>
            <w:r w:rsidRPr="0088641A">
              <w:t>a</w:t>
            </w:r>
            <w:proofErr w:type="gramEnd"/>
            <w:r w:rsidRPr="0088641A">
              <w:t>). Etapa 1.</w:t>
            </w:r>
          </w:p>
          <w:p w:rsidR="00637B76" w:rsidRPr="0088641A" w:rsidRDefault="00637B76" w:rsidP="00637B76">
            <w:pPr>
              <w:pStyle w:val="ListParagraph"/>
              <w:numPr>
                <w:ilvl w:val="0"/>
                <w:numId w:val="10"/>
              </w:numPr>
              <w:tabs>
                <w:tab w:val="left" w:pos="199"/>
                <w:tab w:val="left" w:pos="284"/>
              </w:tabs>
              <w:autoSpaceDE w:val="0"/>
              <w:autoSpaceDN w:val="0"/>
              <w:adjustRightInd w:val="0"/>
              <w:spacing w:after="0" w:line="276" w:lineRule="auto"/>
              <w:ind w:left="0" w:firstLine="0"/>
              <w:rPr>
                <w:rFonts w:ascii="Trebuchet MS" w:hAnsi="Trebuchet MS"/>
                <w:sz w:val="22"/>
                <w:lang w:val="ro-RO"/>
              </w:rPr>
            </w:pPr>
            <w:r w:rsidRPr="0088641A">
              <w:rPr>
                <w:rFonts w:ascii="Trebuchet MS" w:hAnsi="Trebuchet MS"/>
                <w:sz w:val="22"/>
                <w:lang w:val="ro-RO"/>
              </w:rPr>
              <w:t>Acțiuni de animare în scopul identificării de noi parteneri</w:t>
            </w:r>
          </w:p>
          <w:p w:rsidR="00637B76" w:rsidRPr="0088641A" w:rsidRDefault="00637B76" w:rsidP="00C0148D">
            <w:pPr>
              <w:tabs>
                <w:tab w:val="left" w:pos="199"/>
                <w:tab w:val="left" w:pos="284"/>
              </w:tabs>
              <w:autoSpaceDE w:val="0"/>
              <w:autoSpaceDN w:val="0"/>
              <w:adjustRightInd w:val="0"/>
              <w:spacing w:line="276" w:lineRule="auto"/>
              <w:ind w:left="0" w:right="0" w:firstLine="0"/>
              <w:rPr>
                <w:rFonts w:cs="Calibri"/>
                <w:lang w:val="ro-RO"/>
              </w:rPr>
            </w:pPr>
            <w:r w:rsidRPr="0088641A">
              <w:rPr>
                <w:rFonts w:cs="ArialMT"/>
                <w:lang w:val="ro-RO"/>
              </w:rPr>
              <w:t xml:space="preserve">• </w:t>
            </w:r>
            <w:r w:rsidRPr="0088641A">
              <w:rPr>
                <w:rFonts w:cs="Calibri"/>
                <w:lang w:val="ro-RO"/>
              </w:rPr>
              <w:t>Acțiuni de formare specifice</w:t>
            </w:r>
          </w:p>
          <w:p w:rsidR="00637B76" w:rsidRPr="0088641A" w:rsidRDefault="00637B76" w:rsidP="00C0148D">
            <w:pPr>
              <w:tabs>
                <w:tab w:val="left" w:pos="199"/>
                <w:tab w:val="left" w:pos="284"/>
              </w:tabs>
              <w:autoSpaceDE w:val="0"/>
              <w:autoSpaceDN w:val="0"/>
              <w:adjustRightInd w:val="0"/>
              <w:spacing w:line="276" w:lineRule="auto"/>
              <w:ind w:left="0" w:right="0" w:firstLine="0"/>
              <w:rPr>
                <w:rFonts w:cs="Calibri"/>
                <w:lang w:val="ro-RO"/>
              </w:rPr>
            </w:pPr>
            <w:r w:rsidRPr="0088641A">
              <w:rPr>
                <w:rFonts w:cs="ArialMT"/>
                <w:lang w:val="ro-RO"/>
              </w:rPr>
              <w:t xml:space="preserve">• </w:t>
            </w:r>
            <w:r w:rsidRPr="0088641A">
              <w:rPr>
                <w:rFonts w:cs="Calibri"/>
                <w:lang w:val="ro-RO"/>
              </w:rPr>
              <w:t>Elaborarea de studii privind zona în cauză, studii de fezabilitate și elaborarea planului de afaceri, etc.</w:t>
            </w:r>
          </w:p>
          <w:p w:rsidR="00637B76" w:rsidRPr="0088641A" w:rsidRDefault="00637B76" w:rsidP="00C0148D">
            <w:pPr>
              <w:tabs>
                <w:tab w:val="left" w:pos="284"/>
                <w:tab w:val="left" w:pos="1410"/>
              </w:tabs>
              <w:spacing w:line="276" w:lineRule="auto"/>
              <w:ind w:left="0" w:right="0" w:firstLine="0"/>
              <w:rPr>
                <w:rFonts w:cs="EUAlbertina"/>
              </w:rPr>
            </w:pPr>
            <w:r w:rsidRPr="0088641A">
              <w:t>b). Etapa 2.</w:t>
            </w:r>
          </w:p>
          <w:p w:rsidR="00637B76" w:rsidRPr="0088641A" w:rsidRDefault="00637B76" w:rsidP="00637B76">
            <w:pPr>
              <w:pStyle w:val="ListParagraph"/>
              <w:numPr>
                <w:ilvl w:val="0"/>
                <w:numId w:val="8"/>
              </w:numPr>
              <w:tabs>
                <w:tab w:val="left" w:pos="207"/>
                <w:tab w:val="left" w:pos="284"/>
                <w:tab w:val="left" w:pos="383"/>
                <w:tab w:val="left" w:pos="1410"/>
              </w:tabs>
              <w:spacing w:after="0" w:line="276" w:lineRule="auto"/>
              <w:ind w:left="0" w:firstLine="0"/>
              <w:rPr>
                <w:rFonts w:ascii="Trebuchet MS" w:hAnsi="Trebuchet MS"/>
                <w:sz w:val="22"/>
              </w:rPr>
            </w:pPr>
            <w:r w:rsidRPr="0088641A">
              <w:rPr>
                <w:rFonts w:ascii="Trebuchet MS" w:hAnsi="Trebuchet MS"/>
                <w:sz w:val="22"/>
              </w:rPr>
              <w:t xml:space="preserve">funcționarea GO </w:t>
            </w:r>
          </w:p>
          <w:p w:rsidR="00637B76" w:rsidRPr="0088641A" w:rsidRDefault="00637B76" w:rsidP="00C0148D">
            <w:pPr>
              <w:tabs>
                <w:tab w:val="left" w:pos="284"/>
                <w:tab w:val="left" w:pos="1410"/>
              </w:tabs>
              <w:spacing w:line="276" w:lineRule="auto"/>
              <w:ind w:left="0" w:right="0" w:firstLine="0"/>
            </w:pPr>
            <w:r w:rsidRPr="0088641A">
              <w:sym w:font="Symbol" w:char="F0B7"/>
            </w:r>
            <w:r w:rsidRPr="0088641A">
              <w:t xml:space="preserve"> activitățile incluse în planul de proiect depus de GO, care vor acorda sprijin pentru:</w:t>
            </w:r>
          </w:p>
          <w:p w:rsidR="00637B76" w:rsidRPr="0088641A" w:rsidRDefault="00637B76" w:rsidP="00C0148D">
            <w:pPr>
              <w:tabs>
                <w:tab w:val="left" w:pos="284"/>
                <w:tab w:val="left" w:pos="1410"/>
              </w:tabs>
              <w:spacing w:line="276" w:lineRule="auto"/>
              <w:ind w:left="0" w:right="0" w:firstLine="0"/>
            </w:pPr>
            <w:r w:rsidRPr="0088641A">
              <w:t xml:space="preserve">- </w:t>
            </w:r>
            <w:proofErr w:type="gramStart"/>
            <w:r w:rsidRPr="0088641A">
              <w:t>cooperare</w:t>
            </w:r>
            <w:proofErr w:type="gramEnd"/>
            <w:r w:rsidRPr="0088641A">
              <w:t xml:space="preserve"> între micii operatori în ceea ce privește organizarea de procese de lucru comune și partajarea instalațiilor și a resurselor și pentru dezvoltarea și comercializarea de servicii turistice și activităților de promovare.</w:t>
            </w:r>
          </w:p>
          <w:p w:rsidR="00637B76" w:rsidRPr="0088641A" w:rsidRDefault="00637B76" w:rsidP="00C0148D">
            <w:pPr>
              <w:tabs>
                <w:tab w:val="left" w:pos="284"/>
                <w:tab w:val="left" w:pos="1410"/>
              </w:tabs>
              <w:spacing w:line="276" w:lineRule="auto"/>
              <w:ind w:left="0" w:right="0" w:firstLine="0"/>
            </w:pPr>
            <w:r w:rsidRPr="0088641A">
              <w:t xml:space="preserve"> Prin această măsură nu se finațează activități de cercetare și investiții independente.</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 w:val="center" w:pos="4680"/>
              </w:tabs>
              <w:spacing w:after="0" w:line="276" w:lineRule="auto"/>
              <w:ind w:left="0" w:firstLine="0"/>
              <w:rPr>
                <w:rFonts w:ascii="Trebuchet MS" w:hAnsi="Trebuchet MS"/>
                <w:sz w:val="22"/>
              </w:rPr>
            </w:pPr>
            <w:r w:rsidRPr="0088641A">
              <w:rPr>
                <w:rFonts w:ascii="Trebuchet MS" w:hAnsi="Trebuchet MS"/>
                <w:sz w:val="22"/>
              </w:rPr>
              <w:t>Condiții de eligibilitate</w:t>
            </w:r>
          </w:p>
        </w:tc>
      </w:tr>
      <w:tr w:rsidR="00637B76" w:rsidRPr="0088641A" w:rsidTr="00C0148D">
        <w:tc>
          <w:tcPr>
            <w:tcW w:w="9351" w:type="dxa"/>
            <w:gridSpan w:val="2"/>
            <w:vAlign w:val="center"/>
          </w:tcPr>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 xml:space="preserve">Pentru etapa 1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Solicitantul trebuie să fie un grup operațional potențial alcătuit din cel puțin doi parteneri, așa cum este definit în secțiunea de mai sus (Beneficiari eligibili ai M 3/6B)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Proiectul propus trebuie să respecte acțiunile prevăzute la punctul 1.6. Măsura corespunde obiectivelor articolelor din Reg.(UE) nr.1305/2013</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Proiectul propus trebuie să se implementeze în teritoriul GAL MMTMM</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 xml:space="preserve"> Pentru etapa 2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Solicitantul se încadrează în categoria beneficiarilor eligibili;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Solicitantul a fost selectat în etapa 1;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Solicitantul prezintă un acord de cooperare care face referire la o perioadă de funcționare cel puțin egală cu perioada pentru care se acordă finanțarea;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Proiectul GO trebuie sa fie nou și nu în derulare sau finalizat;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GO se angajează că rezultatele proiectelor vor fi diseminate în conformitate cu articolul 57(3) al Regulamentului (UE) nr. 1305/2013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sym w:font="Symbol" w:char="F0B7"/>
            </w:r>
            <w:r w:rsidRPr="0088641A">
              <w:rPr>
                <w:rFonts w:ascii="Trebuchet MS" w:hAnsi="Trebuchet MS"/>
                <w:sz w:val="22"/>
              </w:rPr>
              <w:t xml:space="preserve"> Solicitantul va depune planul de proiect care cuprinde în mod obligatoriu: </w:t>
            </w:r>
          </w:p>
          <w:p w:rsidR="00637B76" w:rsidRPr="0088641A" w:rsidRDefault="00637B76" w:rsidP="00637B76">
            <w:pPr>
              <w:pStyle w:val="ListParagraph"/>
              <w:numPr>
                <w:ilvl w:val="0"/>
                <w:numId w:val="9"/>
              </w:numPr>
              <w:tabs>
                <w:tab w:val="left" w:pos="284"/>
                <w:tab w:val="left" w:pos="407"/>
                <w:tab w:val="left" w:pos="1410"/>
                <w:tab w:val="center" w:pos="4680"/>
              </w:tabs>
              <w:spacing w:after="0" w:line="276" w:lineRule="auto"/>
              <w:ind w:left="0" w:firstLine="0"/>
              <w:rPr>
                <w:rFonts w:ascii="Trebuchet MS" w:hAnsi="Trebuchet MS"/>
                <w:sz w:val="22"/>
              </w:rPr>
            </w:pPr>
            <w:r w:rsidRPr="0088641A">
              <w:rPr>
                <w:rFonts w:ascii="Trebuchet MS" w:hAnsi="Trebuchet MS"/>
                <w:sz w:val="22"/>
              </w:rPr>
              <w:t xml:space="preserve">descriere a proiectului care urmează să fie dezvoltat, adaptat sau implementat; </w:t>
            </w:r>
          </w:p>
          <w:p w:rsidR="00637B76" w:rsidRPr="0088641A" w:rsidRDefault="00637B76" w:rsidP="00637B76">
            <w:pPr>
              <w:pStyle w:val="ListParagraph"/>
              <w:numPr>
                <w:ilvl w:val="0"/>
                <w:numId w:val="9"/>
              </w:numPr>
              <w:tabs>
                <w:tab w:val="left" w:pos="284"/>
                <w:tab w:val="left" w:pos="407"/>
                <w:tab w:val="left" w:pos="1410"/>
                <w:tab w:val="center" w:pos="4680"/>
              </w:tabs>
              <w:spacing w:after="0" w:line="276" w:lineRule="auto"/>
              <w:ind w:left="0" w:firstLine="0"/>
              <w:rPr>
                <w:rFonts w:ascii="Trebuchet MS" w:hAnsi="Trebuchet MS"/>
                <w:sz w:val="22"/>
              </w:rPr>
            </w:pPr>
            <w:r w:rsidRPr="0088641A">
              <w:rPr>
                <w:rFonts w:ascii="Trebuchet MS" w:hAnsi="Trebuchet MS"/>
                <w:sz w:val="22"/>
              </w:rPr>
              <w:t xml:space="preserve">descriere a rezultatelor preconizate și a contribuției la obiectivele </w:t>
            </w:r>
            <w:r w:rsidRPr="0088641A">
              <w:rPr>
                <w:rFonts w:ascii="Trebuchet MS" w:hAnsi="Trebuchet MS"/>
                <w:color w:val="000000" w:themeColor="text1"/>
                <w:sz w:val="22"/>
              </w:rPr>
              <w:t>de dezvoltare rurală specifice ale măsurii</w:t>
            </w:r>
          </w:p>
          <w:p w:rsidR="00637B76" w:rsidRPr="0088641A" w:rsidRDefault="00637B76" w:rsidP="00637B76">
            <w:pPr>
              <w:pStyle w:val="ListParagraph"/>
              <w:numPr>
                <w:ilvl w:val="0"/>
                <w:numId w:val="9"/>
              </w:numPr>
              <w:tabs>
                <w:tab w:val="left" w:pos="284"/>
                <w:tab w:val="left" w:pos="407"/>
                <w:tab w:val="left" w:pos="1410"/>
                <w:tab w:val="center" w:pos="4680"/>
              </w:tabs>
              <w:spacing w:after="0" w:line="276" w:lineRule="auto"/>
              <w:ind w:left="0" w:firstLine="0"/>
              <w:rPr>
                <w:rFonts w:ascii="Trebuchet MS" w:hAnsi="Trebuchet MS"/>
                <w:sz w:val="22"/>
              </w:rPr>
            </w:pPr>
            <w:proofErr w:type="gramStart"/>
            <w:r w:rsidRPr="0088641A">
              <w:rPr>
                <w:rFonts w:ascii="Trebuchet MS" w:hAnsi="Trebuchet MS"/>
                <w:sz w:val="22"/>
              </w:rPr>
              <w:t>descriere</w:t>
            </w:r>
            <w:proofErr w:type="gramEnd"/>
            <w:r w:rsidRPr="0088641A">
              <w:rPr>
                <w:rFonts w:ascii="Trebuchet MS" w:hAnsi="Trebuchet MS"/>
                <w:sz w:val="22"/>
              </w:rPr>
              <w:t xml:space="preserve"> a procedurilor interne pentru asigurarea transparenței în procesul de luare a deciziilor și evitarea conflictului de interese.</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 xml:space="preserve">Alte condiții pentru sprijin: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 xml:space="preserve">Durata de implementare a unui proiect-pilot/de dezvoltare este de maximum 3 ani. </w:t>
            </w:r>
          </w:p>
          <w:p w:rsidR="00637B76" w:rsidRPr="0088641A" w:rsidRDefault="00637B76" w:rsidP="00C0148D">
            <w:pPr>
              <w:pStyle w:val="ListParagraph"/>
              <w:tabs>
                <w:tab w:val="left" w:pos="284"/>
                <w:tab w:val="left" w:pos="1410"/>
                <w:tab w:val="center" w:pos="4680"/>
              </w:tabs>
              <w:spacing w:line="276" w:lineRule="auto"/>
              <w:ind w:left="0" w:firstLine="0"/>
              <w:rPr>
                <w:rFonts w:ascii="Trebuchet MS" w:hAnsi="Trebuchet MS"/>
                <w:sz w:val="22"/>
              </w:rPr>
            </w:pPr>
            <w:r w:rsidRPr="0088641A">
              <w:rPr>
                <w:rFonts w:ascii="Trebuchet MS" w:hAnsi="Trebuchet MS"/>
                <w:sz w:val="22"/>
              </w:rPr>
              <w:t xml:space="preserve">În termen de cel mult șase luni de la finalizarea proiectului, beneficiarii acestei submăsuri vor disemina informațiile complete cu privire la rezultatele proiectului, astfel încât aceste rezultate să poată fi utilizate și de alte părți interesate. Plata finală în cadrul proiectului se </w:t>
            </w:r>
            <w:r w:rsidRPr="0088641A">
              <w:rPr>
                <w:rFonts w:ascii="Trebuchet MS" w:hAnsi="Trebuchet MS"/>
                <w:sz w:val="22"/>
              </w:rPr>
              <w:lastRenderedPageBreak/>
              <w:t>va face numai după finalizarea acestei activități. Conținutul planului de proiect va fi detaliat în cadrul legislativ național de implementare</w:t>
            </w:r>
          </w:p>
        </w:tc>
      </w:tr>
      <w:tr w:rsidR="00637B76" w:rsidRPr="0088641A" w:rsidTr="00C0148D">
        <w:tc>
          <w:tcPr>
            <w:tcW w:w="9351" w:type="dxa"/>
            <w:gridSpan w:val="2"/>
            <w:vAlign w:val="center"/>
          </w:tcPr>
          <w:p w:rsidR="00637B76" w:rsidRPr="0088641A" w:rsidRDefault="00637B76" w:rsidP="00637B76">
            <w:pPr>
              <w:pStyle w:val="ListParagraph"/>
              <w:numPr>
                <w:ilvl w:val="0"/>
                <w:numId w:val="4"/>
              </w:numPr>
              <w:tabs>
                <w:tab w:val="left" w:pos="284"/>
                <w:tab w:val="left" w:pos="1410"/>
                <w:tab w:val="center" w:pos="4680"/>
              </w:tabs>
              <w:spacing w:after="0" w:line="276" w:lineRule="auto"/>
              <w:ind w:left="0" w:firstLine="0"/>
              <w:rPr>
                <w:rFonts w:ascii="Trebuchet MS" w:hAnsi="Trebuchet MS"/>
                <w:sz w:val="22"/>
              </w:rPr>
            </w:pPr>
            <w:r w:rsidRPr="0088641A">
              <w:rPr>
                <w:rFonts w:ascii="Trebuchet MS" w:hAnsi="Trebuchet MS"/>
                <w:sz w:val="22"/>
              </w:rPr>
              <w:lastRenderedPageBreak/>
              <w:t>Criterii de selecție</w:t>
            </w:r>
          </w:p>
        </w:tc>
      </w:tr>
      <w:tr w:rsidR="00637B76" w:rsidRPr="00561A36" w:rsidTr="00C0148D">
        <w:tc>
          <w:tcPr>
            <w:tcW w:w="9351" w:type="dxa"/>
            <w:gridSpan w:val="2"/>
            <w:vAlign w:val="center"/>
          </w:tcPr>
          <w:p w:rsidR="00637B76" w:rsidRPr="00561A36" w:rsidRDefault="00637B76" w:rsidP="00C0148D">
            <w:pPr>
              <w:tabs>
                <w:tab w:val="left" w:pos="284"/>
                <w:tab w:val="left" w:pos="1410"/>
              </w:tabs>
              <w:spacing w:line="276" w:lineRule="auto"/>
              <w:ind w:left="0" w:right="0" w:firstLine="0"/>
              <w:rPr>
                <w:color w:val="auto"/>
              </w:rPr>
            </w:pPr>
            <w:r w:rsidRPr="00561A36">
              <w:rPr>
                <w:color w:val="auto"/>
              </w:rPr>
              <w:t xml:space="preserve">În procesul de evaluare și de selecție a GO și a proiectelor comune propuse de acestea pentru a fi finanțate, se vor lua în considerare următoarele principii: </w:t>
            </w:r>
          </w:p>
          <w:p w:rsidR="00637B76" w:rsidRPr="00561A36" w:rsidRDefault="00637B76" w:rsidP="00C0148D">
            <w:pPr>
              <w:tabs>
                <w:tab w:val="left" w:pos="284"/>
                <w:tab w:val="left" w:pos="1410"/>
              </w:tabs>
              <w:spacing w:line="276" w:lineRule="auto"/>
              <w:ind w:left="0" w:right="0" w:firstLine="0"/>
              <w:rPr>
                <w:color w:val="auto"/>
              </w:rPr>
            </w:pPr>
            <w:r w:rsidRPr="00561A36">
              <w:rPr>
                <w:color w:val="auto"/>
              </w:rPr>
              <w:t xml:space="preserve">Pentru etapa 1 selecția proiectelor se va efectua luind in considerare principiul sectorului prioritar în conformitate cu SDL GAL MMTMM. </w:t>
            </w:r>
          </w:p>
          <w:p w:rsidR="00637B76" w:rsidRPr="00561A36" w:rsidRDefault="00637B76" w:rsidP="00C0148D">
            <w:pPr>
              <w:tabs>
                <w:tab w:val="left" w:pos="284"/>
                <w:tab w:val="left" w:pos="1410"/>
              </w:tabs>
              <w:spacing w:line="276" w:lineRule="auto"/>
              <w:ind w:left="0" w:right="0" w:firstLine="0"/>
              <w:rPr>
                <w:color w:val="auto"/>
              </w:rPr>
            </w:pPr>
            <w:r w:rsidRPr="00561A36">
              <w:rPr>
                <w:color w:val="auto"/>
              </w:rPr>
              <w:t>Pentru etapa 2 selecția proiectelor se va efectua utilizându-se o evaluare privind:</w:t>
            </w:r>
          </w:p>
          <w:p w:rsidR="00637B76" w:rsidRPr="00561A36" w:rsidRDefault="00637B76" w:rsidP="00637B76">
            <w:pPr>
              <w:pStyle w:val="ListParagraph"/>
              <w:numPr>
                <w:ilvl w:val="0"/>
                <w:numId w:val="3"/>
              </w:numPr>
              <w:tabs>
                <w:tab w:val="left" w:pos="284"/>
              </w:tabs>
              <w:spacing w:line="276" w:lineRule="auto"/>
              <w:ind w:left="0" w:firstLine="0"/>
              <w:rPr>
                <w:rFonts w:ascii="Trebuchet MS" w:hAnsi="Trebuchet MS"/>
                <w:color w:val="auto"/>
                <w:sz w:val="22"/>
              </w:rPr>
            </w:pPr>
            <w:r w:rsidRPr="00561A36">
              <w:rPr>
                <w:rFonts w:ascii="Trebuchet MS" w:hAnsi="Trebuchet MS"/>
                <w:color w:val="auto"/>
                <w:sz w:val="22"/>
                <w:lang w:val="ro-RO"/>
              </w:rPr>
              <w:t xml:space="preserve">Prioritizare în funcție de numarul partenerilor care au accesul asigurat prin drumuri înființate, extinse și/sau modernizate prin </w:t>
            </w:r>
            <w:r w:rsidRPr="00561A36">
              <w:rPr>
                <w:rFonts w:ascii="Trebuchet MS" w:hAnsi="Trebuchet MS" w:cs="Times New Roman"/>
                <w:color w:val="auto"/>
                <w:sz w:val="22"/>
                <w:lang w:val="ro-RO"/>
              </w:rPr>
              <w:t xml:space="preserve">M4/2A Infrastructura de acces agricol, silvic și în situri Natura 2000 și </w:t>
            </w:r>
            <w:r w:rsidRPr="00561A36">
              <w:rPr>
                <w:rFonts w:ascii="Trebuchet MS" w:hAnsi="Trebuchet MS" w:cs="Times New Roman"/>
                <w:color w:val="auto"/>
                <w:sz w:val="22"/>
              </w:rPr>
              <w:t xml:space="preserve">M7.1/6B - Infrastructură de acces </w:t>
            </w:r>
            <w:r w:rsidRPr="00561A36">
              <w:rPr>
                <w:rFonts w:ascii="Trebuchet MS" w:hAnsi="Trebuchet MS" w:cs="Times New Roman"/>
                <w:color w:val="auto"/>
                <w:sz w:val="22"/>
                <w:lang w:val="ro-RO"/>
              </w:rPr>
              <w:t>din SDL GAL MMTMM, PNDR. POR sau POIM.</w:t>
            </w:r>
          </w:p>
          <w:p w:rsidR="00637B76" w:rsidRPr="00561A36" w:rsidRDefault="00637B76" w:rsidP="00637B76">
            <w:pPr>
              <w:pStyle w:val="ListParagraph"/>
              <w:numPr>
                <w:ilvl w:val="0"/>
                <w:numId w:val="3"/>
              </w:numPr>
              <w:tabs>
                <w:tab w:val="left" w:pos="284"/>
                <w:tab w:val="left" w:pos="1410"/>
              </w:tabs>
              <w:spacing w:line="276" w:lineRule="auto"/>
              <w:ind w:left="0" w:firstLine="0"/>
              <w:rPr>
                <w:rFonts w:ascii="Trebuchet MS" w:hAnsi="Trebuchet MS"/>
                <w:color w:val="auto"/>
                <w:sz w:val="22"/>
              </w:rPr>
            </w:pPr>
            <w:r w:rsidRPr="00561A36">
              <w:rPr>
                <w:rFonts w:ascii="Trebuchet MS" w:hAnsi="Trebuchet MS"/>
                <w:color w:val="auto"/>
                <w:sz w:val="22"/>
              </w:rPr>
              <w:t>Prioritizarea dupa numărul de parteneri beneficiari ai M6.1/2A Dezvoltarea fermelor zootehnice care sunt/au activități in situri natura 2000</w:t>
            </w:r>
          </w:p>
          <w:p w:rsidR="00637B76" w:rsidRPr="00561A36" w:rsidRDefault="00637B76" w:rsidP="00637B76">
            <w:pPr>
              <w:pStyle w:val="ListParagraph"/>
              <w:numPr>
                <w:ilvl w:val="0"/>
                <w:numId w:val="3"/>
              </w:numPr>
              <w:tabs>
                <w:tab w:val="left" w:pos="247"/>
                <w:tab w:val="left" w:pos="1410"/>
              </w:tabs>
              <w:spacing w:after="0" w:line="276" w:lineRule="auto"/>
              <w:ind w:left="0" w:firstLine="0"/>
              <w:rPr>
                <w:rFonts w:ascii="Trebuchet MS" w:hAnsi="Trebuchet MS"/>
                <w:color w:val="auto"/>
                <w:sz w:val="22"/>
              </w:rPr>
            </w:pPr>
            <w:r w:rsidRPr="00561A36">
              <w:rPr>
                <w:rFonts w:ascii="Trebuchet MS" w:hAnsi="Trebuchet MS"/>
                <w:color w:val="auto"/>
                <w:sz w:val="22"/>
              </w:rPr>
              <w:t xml:space="preserve">Relevanță, in ce măsură realizarea acestui proiect rezolvă o problemă locală relevantă </w:t>
            </w:r>
          </w:p>
          <w:p w:rsidR="00637B76" w:rsidRPr="00561A36" w:rsidRDefault="00637B76" w:rsidP="00637B76">
            <w:pPr>
              <w:pStyle w:val="ListParagraph"/>
              <w:numPr>
                <w:ilvl w:val="0"/>
                <w:numId w:val="3"/>
              </w:numPr>
              <w:tabs>
                <w:tab w:val="left" w:pos="247"/>
                <w:tab w:val="left" w:pos="1410"/>
              </w:tabs>
              <w:spacing w:after="0" w:line="276" w:lineRule="auto"/>
              <w:ind w:left="0" w:firstLine="0"/>
              <w:rPr>
                <w:rFonts w:ascii="Trebuchet MS" w:hAnsi="Trebuchet MS"/>
                <w:color w:val="auto"/>
                <w:sz w:val="22"/>
              </w:rPr>
            </w:pPr>
            <w:r w:rsidRPr="00561A36">
              <w:rPr>
                <w:rFonts w:ascii="Trebuchet MS" w:hAnsi="Trebuchet MS"/>
                <w:color w:val="auto"/>
                <w:sz w:val="22"/>
              </w:rPr>
              <w:t>Inovare, se referă la caracterul inovativ al soluțiilor propuse</w:t>
            </w:r>
          </w:p>
          <w:p w:rsidR="00637B76" w:rsidRPr="00561A36" w:rsidRDefault="00637B76" w:rsidP="00637B76">
            <w:pPr>
              <w:pStyle w:val="ListParagraph"/>
              <w:numPr>
                <w:ilvl w:val="0"/>
                <w:numId w:val="3"/>
              </w:numPr>
              <w:tabs>
                <w:tab w:val="left" w:pos="247"/>
                <w:tab w:val="left" w:pos="1410"/>
              </w:tabs>
              <w:spacing w:after="0" w:line="276" w:lineRule="auto"/>
              <w:ind w:left="0" w:firstLine="0"/>
              <w:rPr>
                <w:rFonts w:ascii="Trebuchet MS" w:hAnsi="Trebuchet MS"/>
                <w:color w:val="auto"/>
                <w:sz w:val="22"/>
              </w:rPr>
            </w:pPr>
            <w:r w:rsidRPr="00561A36">
              <w:rPr>
                <w:rFonts w:ascii="Trebuchet MS" w:hAnsi="Trebuchet MS"/>
                <w:color w:val="auto"/>
                <w:sz w:val="22"/>
              </w:rPr>
              <w:t>Mediu și climă, măsura alinieri la obiectivul transversal.</w:t>
            </w:r>
          </w:p>
          <w:p w:rsidR="00637B76" w:rsidRPr="00561A36" w:rsidRDefault="00637B76" w:rsidP="00637B76">
            <w:pPr>
              <w:pStyle w:val="ListParagraph"/>
              <w:numPr>
                <w:ilvl w:val="0"/>
                <w:numId w:val="3"/>
              </w:numPr>
              <w:tabs>
                <w:tab w:val="left" w:pos="247"/>
                <w:tab w:val="left" w:pos="284"/>
                <w:tab w:val="left" w:pos="1410"/>
              </w:tabs>
              <w:spacing w:after="0" w:line="276" w:lineRule="auto"/>
              <w:ind w:left="0" w:firstLine="0"/>
              <w:rPr>
                <w:rFonts w:ascii="Trebuchet MS" w:hAnsi="Trebuchet MS"/>
                <w:color w:val="auto"/>
                <w:sz w:val="22"/>
              </w:rPr>
            </w:pPr>
            <w:r w:rsidRPr="00561A36">
              <w:rPr>
                <w:rFonts w:ascii="Trebuchet MS" w:hAnsi="Trebuchet MS"/>
                <w:color w:val="auto"/>
                <w:sz w:val="22"/>
              </w:rPr>
              <w:t>Sustenabilitate, modul de continuare a activității după finalizarea proiectului</w:t>
            </w:r>
          </w:p>
        </w:tc>
      </w:tr>
      <w:tr w:rsidR="00637B76" w:rsidRPr="00561A36" w:rsidTr="00C0148D">
        <w:tc>
          <w:tcPr>
            <w:tcW w:w="9351" w:type="dxa"/>
            <w:gridSpan w:val="2"/>
            <w:vAlign w:val="center"/>
          </w:tcPr>
          <w:p w:rsidR="00637B76" w:rsidRPr="00561A36" w:rsidRDefault="00637B76" w:rsidP="00637B76">
            <w:pPr>
              <w:pStyle w:val="ListParagraph"/>
              <w:numPr>
                <w:ilvl w:val="0"/>
                <w:numId w:val="4"/>
              </w:numPr>
              <w:tabs>
                <w:tab w:val="left" w:pos="284"/>
                <w:tab w:val="left" w:pos="1410"/>
              </w:tabs>
              <w:spacing w:after="0" w:line="276" w:lineRule="auto"/>
              <w:ind w:left="0" w:firstLine="0"/>
              <w:outlineLvl w:val="0"/>
              <w:rPr>
                <w:rFonts w:ascii="Trebuchet MS" w:hAnsi="Trebuchet MS"/>
                <w:color w:val="auto"/>
                <w:sz w:val="22"/>
              </w:rPr>
            </w:pPr>
            <w:r w:rsidRPr="00561A36">
              <w:rPr>
                <w:rFonts w:ascii="Trebuchet MS" w:hAnsi="Trebuchet MS"/>
                <w:color w:val="auto"/>
                <w:sz w:val="22"/>
              </w:rPr>
              <w:t>Sume (aplicabile) și rata sprijinului</w:t>
            </w:r>
          </w:p>
        </w:tc>
      </w:tr>
      <w:tr w:rsidR="00637B76" w:rsidRPr="0088641A" w:rsidTr="00C0148D">
        <w:tc>
          <w:tcPr>
            <w:tcW w:w="9351" w:type="dxa"/>
            <w:gridSpan w:val="2"/>
            <w:vAlign w:val="center"/>
          </w:tcPr>
          <w:p w:rsidR="00637B76" w:rsidRPr="0088641A" w:rsidRDefault="00637B76" w:rsidP="00C0148D">
            <w:pPr>
              <w:tabs>
                <w:tab w:val="left" w:pos="284"/>
                <w:tab w:val="left" w:pos="1410"/>
              </w:tabs>
              <w:spacing w:line="276" w:lineRule="auto"/>
              <w:ind w:left="0" w:right="0" w:firstLine="0"/>
            </w:pPr>
            <w:r w:rsidRPr="0088641A">
              <w:t xml:space="preserve">Toate costurile atât pentru cooperare, cât și pentru implementarea proiectului sunt abordate prin această măsură, care se incadreaza intre 100000 EURO valoare minima si 200000 EURO, valoare maxima. În cazul în care planul proiectului include și acțiuni care sunt eligibile prin alte măsuri prevăzute în Regulamentul (UE) nr. 1305/2013, costurile sunt acoperite prin sub-măsura M3/6B, cu respectarea ratei maxime </w:t>
            </w:r>
            <w:proofErr w:type="gramStart"/>
            <w:r w:rsidRPr="0088641A">
              <w:t>a</w:t>
            </w:r>
            <w:proofErr w:type="gramEnd"/>
            <w:r w:rsidRPr="0088641A">
              <w:t xml:space="preserve"> ajutorului și sumelor aplicabile în cadrul măsurilor respective. Pentru măsurile care se regăsesc în obiectivele măsurilor de dezvoltare rurală, parteneriatul va stabili intensitatea sprijinului în limita maximă prevăzută în Regulamentul (UE) nr. 1305/2013.</w:t>
            </w:r>
          </w:p>
        </w:tc>
      </w:tr>
      <w:tr w:rsidR="00637B76" w:rsidRPr="0088641A" w:rsidTr="00C0148D">
        <w:tc>
          <w:tcPr>
            <w:tcW w:w="9351" w:type="dxa"/>
            <w:gridSpan w:val="2"/>
          </w:tcPr>
          <w:p w:rsidR="00637B76" w:rsidRPr="0088641A" w:rsidRDefault="00637B76" w:rsidP="00C0148D">
            <w:pPr>
              <w:pStyle w:val="ListParagraph"/>
              <w:tabs>
                <w:tab w:val="left" w:pos="284"/>
                <w:tab w:val="left" w:pos="1410"/>
              </w:tabs>
              <w:spacing w:after="0" w:line="276" w:lineRule="auto"/>
              <w:ind w:left="0" w:firstLine="0"/>
              <w:outlineLvl w:val="0"/>
              <w:rPr>
                <w:rFonts w:ascii="Trebuchet MS" w:hAnsi="Trebuchet MS"/>
                <w:sz w:val="22"/>
              </w:rPr>
            </w:pPr>
            <w:r w:rsidRPr="0088641A">
              <w:rPr>
                <w:rFonts w:ascii="Trebuchet MS" w:hAnsi="Trebuchet MS"/>
                <w:sz w:val="22"/>
              </w:rPr>
              <w:t>10. Indicatori de monitorizare</w:t>
            </w:r>
          </w:p>
        </w:tc>
      </w:tr>
      <w:tr w:rsidR="00637B76" w:rsidRPr="0088641A" w:rsidTr="00C0148D">
        <w:tc>
          <w:tcPr>
            <w:tcW w:w="9351" w:type="dxa"/>
            <w:gridSpan w:val="2"/>
          </w:tcPr>
          <w:p w:rsidR="00637B76" w:rsidRPr="0088641A" w:rsidRDefault="00637B76" w:rsidP="00C0148D">
            <w:pPr>
              <w:tabs>
                <w:tab w:val="left" w:pos="284"/>
                <w:tab w:val="left" w:pos="1410"/>
              </w:tabs>
              <w:spacing w:line="276" w:lineRule="auto"/>
              <w:ind w:left="0" w:right="0" w:firstLine="0"/>
            </w:pPr>
            <w:r w:rsidRPr="0088641A">
              <w:rPr>
                <w:color w:val="auto"/>
              </w:rPr>
              <w:t>400</w:t>
            </w:r>
            <w:r w:rsidRPr="0088641A">
              <w:rPr>
                <w:color w:val="FF0000"/>
              </w:rPr>
              <w:t xml:space="preserve"> </w:t>
            </w:r>
            <w:r w:rsidRPr="0088641A">
              <w:t>locuitori (populație netă) care beneficiază de infrastructura îmbunătățită</w:t>
            </w:r>
          </w:p>
          <w:p w:rsidR="00637B76" w:rsidRPr="0088641A" w:rsidRDefault="00637B76" w:rsidP="00C0148D">
            <w:pPr>
              <w:tabs>
                <w:tab w:val="left" w:pos="319"/>
                <w:tab w:val="left" w:pos="360"/>
                <w:tab w:val="left" w:pos="1410"/>
              </w:tabs>
              <w:spacing w:line="276" w:lineRule="auto"/>
              <w:ind w:right="0"/>
              <w:outlineLvl w:val="0"/>
            </w:pPr>
            <w:r w:rsidRPr="0088641A">
              <w:rPr>
                <w:color w:val="auto"/>
              </w:rPr>
              <w:t>2</w:t>
            </w:r>
            <w:r w:rsidRPr="0088641A">
              <w:t xml:space="preserve"> operațiuni de cooperare sprijinite în cadrul măsurii de cooperare</w:t>
            </w:r>
          </w:p>
          <w:p w:rsidR="00637B76" w:rsidRPr="0088641A" w:rsidRDefault="00637B76" w:rsidP="00C0148D">
            <w:pPr>
              <w:tabs>
                <w:tab w:val="left" w:pos="319"/>
                <w:tab w:val="left" w:pos="360"/>
                <w:tab w:val="left" w:pos="1410"/>
              </w:tabs>
              <w:spacing w:line="276" w:lineRule="auto"/>
              <w:ind w:right="0"/>
              <w:outlineLvl w:val="0"/>
            </w:pPr>
            <w:r w:rsidRPr="0088641A">
              <w:t>276.000 EURO cheltuielile publice totale</w:t>
            </w:r>
          </w:p>
          <w:p w:rsidR="00637B76" w:rsidRPr="0088641A" w:rsidRDefault="00637B76" w:rsidP="00C0148D">
            <w:pPr>
              <w:tabs>
                <w:tab w:val="left" w:pos="284"/>
                <w:tab w:val="left" w:pos="1410"/>
              </w:tabs>
              <w:spacing w:line="276" w:lineRule="auto"/>
              <w:ind w:left="0" w:right="0" w:firstLine="0"/>
            </w:pPr>
            <w:r w:rsidRPr="0088641A">
              <w:rPr>
                <w:color w:val="auto"/>
              </w:rPr>
              <w:t xml:space="preserve">4 </w:t>
            </w:r>
            <w:r w:rsidRPr="0088641A">
              <w:t>locuri de muncă nou create</w:t>
            </w:r>
          </w:p>
        </w:tc>
      </w:tr>
    </w:tbl>
    <w:p w:rsidR="003A52E7" w:rsidRDefault="003A52E7"/>
    <w:sectPr w:rsidR="003A5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731"/>
    <w:multiLevelType w:val="multilevel"/>
    <w:tmpl w:val="3D7E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47B2"/>
    <w:multiLevelType w:val="hybridMultilevel"/>
    <w:tmpl w:val="599651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99F1FFF"/>
    <w:multiLevelType w:val="hybridMultilevel"/>
    <w:tmpl w:val="74C89E58"/>
    <w:lvl w:ilvl="0" w:tplc="0DB6826E">
      <w:start w:val="1"/>
      <w:numFmt w:val="bullet"/>
      <w:lvlText w:val="•"/>
      <w:lvlJc w:val="left"/>
      <w:pPr>
        <w:tabs>
          <w:tab w:val="num" w:pos="720"/>
        </w:tabs>
        <w:ind w:left="720" w:hanging="360"/>
      </w:pPr>
      <w:rPr>
        <w:rFonts w:ascii="Arial" w:hAnsi="Arial" w:hint="default"/>
      </w:rPr>
    </w:lvl>
    <w:lvl w:ilvl="1" w:tplc="3DA2C3F4" w:tentative="1">
      <w:start w:val="1"/>
      <w:numFmt w:val="bullet"/>
      <w:lvlText w:val="•"/>
      <w:lvlJc w:val="left"/>
      <w:pPr>
        <w:tabs>
          <w:tab w:val="num" w:pos="1440"/>
        </w:tabs>
        <w:ind w:left="1440" w:hanging="360"/>
      </w:pPr>
      <w:rPr>
        <w:rFonts w:ascii="Arial" w:hAnsi="Arial" w:hint="default"/>
      </w:rPr>
    </w:lvl>
    <w:lvl w:ilvl="2" w:tplc="1640EE3E" w:tentative="1">
      <w:start w:val="1"/>
      <w:numFmt w:val="bullet"/>
      <w:lvlText w:val="•"/>
      <w:lvlJc w:val="left"/>
      <w:pPr>
        <w:tabs>
          <w:tab w:val="num" w:pos="2160"/>
        </w:tabs>
        <w:ind w:left="2160" w:hanging="360"/>
      </w:pPr>
      <w:rPr>
        <w:rFonts w:ascii="Arial" w:hAnsi="Arial" w:hint="default"/>
      </w:rPr>
    </w:lvl>
    <w:lvl w:ilvl="3" w:tplc="848ED192" w:tentative="1">
      <w:start w:val="1"/>
      <w:numFmt w:val="bullet"/>
      <w:lvlText w:val="•"/>
      <w:lvlJc w:val="left"/>
      <w:pPr>
        <w:tabs>
          <w:tab w:val="num" w:pos="2880"/>
        </w:tabs>
        <w:ind w:left="2880" w:hanging="360"/>
      </w:pPr>
      <w:rPr>
        <w:rFonts w:ascii="Arial" w:hAnsi="Arial" w:hint="default"/>
      </w:rPr>
    </w:lvl>
    <w:lvl w:ilvl="4" w:tplc="7AFEC276" w:tentative="1">
      <w:start w:val="1"/>
      <w:numFmt w:val="bullet"/>
      <w:lvlText w:val="•"/>
      <w:lvlJc w:val="left"/>
      <w:pPr>
        <w:tabs>
          <w:tab w:val="num" w:pos="3600"/>
        </w:tabs>
        <w:ind w:left="3600" w:hanging="360"/>
      </w:pPr>
      <w:rPr>
        <w:rFonts w:ascii="Arial" w:hAnsi="Arial" w:hint="default"/>
      </w:rPr>
    </w:lvl>
    <w:lvl w:ilvl="5" w:tplc="D010A91A" w:tentative="1">
      <w:start w:val="1"/>
      <w:numFmt w:val="bullet"/>
      <w:lvlText w:val="•"/>
      <w:lvlJc w:val="left"/>
      <w:pPr>
        <w:tabs>
          <w:tab w:val="num" w:pos="4320"/>
        </w:tabs>
        <w:ind w:left="4320" w:hanging="360"/>
      </w:pPr>
      <w:rPr>
        <w:rFonts w:ascii="Arial" w:hAnsi="Arial" w:hint="default"/>
      </w:rPr>
    </w:lvl>
    <w:lvl w:ilvl="6" w:tplc="ECFABB5C" w:tentative="1">
      <w:start w:val="1"/>
      <w:numFmt w:val="bullet"/>
      <w:lvlText w:val="•"/>
      <w:lvlJc w:val="left"/>
      <w:pPr>
        <w:tabs>
          <w:tab w:val="num" w:pos="5040"/>
        </w:tabs>
        <w:ind w:left="5040" w:hanging="360"/>
      </w:pPr>
      <w:rPr>
        <w:rFonts w:ascii="Arial" w:hAnsi="Arial" w:hint="default"/>
      </w:rPr>
    </w:lvl>
    <w:lvl w:ilvl="7" w:tplc="64FEF9EA" w:tentative="1">
      <w:start w:val="1"/>
      <w:numFmt w:val="bullet"/>
      <w:lvlText w:val="•"/>
      <w:lvlJc w:val="left"/>
      <w:pPr>
        <w:tabs>
          <w:tab w:val="num" w:pos="5760"/>
        </w:tabs>
        <w:ind w:left="5760" w:hanging="360"/>
      </w:pPr>
      <w:rPr>
        <w:rFonts w:ascii="Arial" w:hAnsi="Arial" w:hint="default"/>
      </w:rPr>
    </w:lvl>
    <w:lvl w:ilvl="8" w:tplc="53487E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4828F7"/>
    <w:multiLevelType w:val="hybridMultilevel"/>
    <w:tmpl w:val="A17478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3ED6A33"/>
    <w:multiLevelType w:val="hybridMultilevel"/>
    <w:tmpl w:val="F5FEB0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D42C26"/>
    <w:multiLevelType w:val="hybridMultilevel"/>
    <w:tmpl w:val="2A44C5E6"/>
    <w:lvl w:ilvl="0" w:tplc="04180001">
      <w:start w:val="1"/>
      <w:numFmt w:val="bullet"/>
      <w:lvlText w:val=""/>
      <w:lvlJc w:val="left"/>
      <w:pPr>
        <w:ind w:left="749" w:hanging="360"/>
      </w:pPr>
      <w:rPr>
        <w:rFonts w:ascii="Symbol" w:hAnsi="Symbol"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6" w15:restartNumberingAfterBreak="0">
    <w:nsid w:val="2AF94698"/>
    <w:multiLevelType w:val="hybridMultilevel"/>
    <w:tmpl w:val="EF9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D545B"/>
    <w:multiLevelType w:val="hybridMultilevel"/>
    <w:tmpl w:val="EBEEB35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479319C5"/>
    <w:multiLevelType w:val="hybridMultilevel"/>
    <w:tmpl w:val="9D0E8DE6"/>
    <w:lvl w:ilvl="0" w:tplc="04180009">
      <w:start w:val="1"/>
      <w:numFmt w:val="bullet"/>
      <w:lvlText w:val=""/>
      <w:lvlJc w:val="left"/>
      <w:pPr>
        <w:ind w:left="749" w:hanging="360"/>
      </w:pPr>
      <w:rPr>
        <w:rFonts w:ascii="Wingdings" w:hAnsi="Wingdings" w:hint="default"/>
      </w:rPr>
    </w:lvl>
    <w:lvl w:ilvl="1" w:tplc="04180003" w:tentative="1">
      <w:start w:val="1"/>
      <w:numFmt w:val="bullet"/>
      <w:lvlText w:val="o"/>
      <w:lvlJc w:val="left"/>
      <w:pPr>
        <w:ind w:left="1469" w:hanging="360"/>
      </w:pPr>
      <w:rPr>
        <w:rFonts w:ascii="Courier New" w:hAnsi="Courier New" w:cs="Courier New" w:hint="default"/>
      </w:rPr>
    </w:lvl>
    <w:lvl w:ilvl="2" w:tplc="04180005" w:tentative="1">
      <w:start w:val="1"/>
      <w:numFmt w:val="bullet"/>
      <w:lvlText w:val=""/>
      <w:lvlJc w:val="left"/>
      <w:pPr>
        <w:ind w:left="2189" w:hanging="360"/>
      </w:pPr>
      <w:rPr>
        <w:rFonts w:ascii="Wingdings" w:hAnsi="Wingdings" w:hint="default"/>
      </w:rPr>
    </w:lvl>
    <w:lvl w:ilvl="3" w:tplc="04180001" w:tentative="1">
      <w:start w:val="1"/>
      <w:numFmt w:val="bullet"/>
      <w:lvlText w:val=""/>
      <w:lvlJc w:val="left"/>
      <w:pPr>
        <w:ind w:left="2909" w:hanging="360"/>
      </w:pPr>
      <w:rPr>
        <w:rFonts w:ascii="Symbol" w:hAnsi="Symbol" w:hint="default"/>
      </w:rPr>
    </w:lvl>
    <w:lvl w:ilvl="4" w:tplc="04180003" w:tentative="1">
      <w:start w:val="1"/>
      <w:numFmt w:val="bullet"/>
      <w:lvlText w:val="o"/>
      <w:lvlJc w:val="left"/>
      <w:pPr>
        <w:ind w:left="3629" w:hanging="360"/>
      </w:pPr>
      <w:rPr>
        <w:rFonts w:ascii="Courier New" w:hAnsi="Courier New" w:cs="Courier New" w:hint="default"/>
      </w:rPr>
    </w:lvl>
    <w:lvl w:ilvl="5" w:tplc="04180005" w:tentative="1">
      <w:start w:val="1"/>
      <w:numFmt w:val="bullet"/>
      <w:lvlText w:val=""/>
      <w:lvlJc w:val="left"/>
      <w:pPr>
        <w:ind w:left="4349" w:hanging="360"/>
      </w:pPr>
      <w:rPr>
        <w:rFonts w:ascii="Wingdings" w:hAnsi="Wingdings" w:hint="default"/>
      </w:rPr>
    </w:lvl>
    <w:lvl w:ilvl="6" w:tplc="04180001" w:tentative="1">
      <w:start w:val="1"/>
      <w:numFmt w:val="bullet"/>
      <w:lvlText w:val=""/>
      <w:lvlJc w:val="left"/>
      <w:pPr>
        <w:ind w:left="5069" w:hanging="360"/>
      </w:pPr>
      <w:rPr>
        <w:rFonts w:ascii="Symbol" w:hAnsi="Symbol" w:hint="default"/>
      </w:rPr>
    </w:lvl>
    <w:lvl w:ilvl="7" w:tplc="04180003" w:tentative="1">
      <w:start w:val="1"/>
      <w:numFmt w:val="bullet"/>
      <w:lvlText w:val="o"/>
      <w:lvlJc w:val="left"/>
      <w:pPr>
        <w:ind w:left="5789" w:hanging="360"/>
      </w:pPr>
      <w:rPr>
        <w:rFonts w:ascii="Courier New" w:hAnsi="Courier New" w:cs="Courier New" w:hint="default"/>
      </w:rPr>
    </w:lvl>
    <w:lvl w:ilvl="8" w:tplc="04180005" w:tentative="1">
      <w:start w:val="1"/>
      <w:numFmt w:val="bullet"/>
      <w:lvlText w:val=""/>
      <w:lvlJc w:val="left"/>
      <w:pPr>
        <w:ind w:left="6509" w:hanging="360"/>
      </w:pPr>
      <w:rPr>
        <w:rFonts w:ascii="Wingdings" w:hAnsi="Wingdings" w:hint="default"/>
      </w:rPr>
    </w:lvl>
  </w:abstractNum>
  <w:abstractNum w:abstractNumId="9" w15:restartNumberingAfterBreak="0">
    <w:nsid w:val="55F26657"/>
    <w:multiLevelType w:val="multilevel"/>
    <w:tmpl w:val="55F26657"/>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BEC0A2A"/>
    <w:multiLevelType w:val="multilevel"/>
    <w:tmpl w:val="21C4E4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1"/>
  </w:num>
  <w:num w:numId="4">
    <w:abstractNumId w:val="9"/>
  </w:num>
  <w:num w:numId="5">
    <w:abstractNumId w:val="2"/>
  </w:num>
  <w:num w:numId="6">
    <w:abstractNumId w:val="0"/>
  </w:num>
  <w:num w:numId="7">
    <w:abstractNumId w:val="3"/>
  </w:num>
  <w:num w:numId="8">
    <w:abstractNumId w:val="5"/>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76"/>
    <w:rsid w:val="003A52E7"/>
    <w:rsid w:val="00637B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2E74-80B4-492F-BCCE-44978B8D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B76"/>
    <w:pPr>
      <w:spacing w:after="39" w:line="248" w:lineRule="auto"/>
      <w:ind w:left="10" w:right="66" w:hanging="10"/>
      <w:jc w:val="both"/>
    </w:pPr>
    <w:rPr>
      <w:rFonts w:ascii="Trebuchet MS" w:eastAsia="Trebuchet MS" w:hAnsi="Trebuchet MS" w:cs="Trebuchet M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B7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B76"/>
    <w:pPr>
      <w:spacing w:after="5" w:line="249" w:lineRule="auto"/>
      <w:ind w:left="720" w:right="0"/>
      <w:contextualSpacing/>
    </w:pPr>
    <w:rPr>
      <w:rFonts w:ascii="Calibri" w:eastAsia="Calibri" w:hAnsi="Calibri" w:cs="Calibri"/>
      <w:sz w:val="23"/>
    </w:rPr>
  </w:style>
  <w:style w:type="paragraph" w:customStyle="1" w:styleId="Default">
    <w:name w:val="Default"/>
    <w:rsid w:val="00637B7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2417</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2018-03-14T10:51:00Z</dcterms:created>
  <dcterms:modified xsi:type="dcterms:W3CDTF">2018-03-14T11:00:00Z</dcterms:modified>
</cp:coreProperties>
</file>